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DD2" w:rsidRDefault="003F3DD2">
      <w:pPr>
        <w:pStyle w:val="ParNorm"/>
        <w:pBdr>
          <w:top w:val="single" w:sz="6" w:space="16" w:color="auto"/>
          <w:left w:val="single" w:sz="6" w:space="16" w:color="auto"/>
          <w:bottom w:val="single" w:sz="6" w:space="16" w:color="auto"/>
          <w:right w:val="single" w:sz="6" w:space="16" w:color="auto"/>
        </w:pBdr>
        <w:spacing w:before="240"/>
        <w:ind w:left="284" w:right="284"/>
        <w:jc w:val="center"/>
        <w:rPr>
          <w:b/>
          <w:sz w:val="28"/>
        </w:rPr>
      </w:pPr>
      <w:r>
        <w:rPr>
          <w:b/>
          <w:i/>
          <w:sz w:val="28"/>
        </w:rPr>
        <w:t xml:space="preserve">MODELE D'ARRETE DU CONSEIL </w:t>
      </w:r>
      <w:r w:rsidR="00991B36">
        <w:rPr>
          <w:b/>
          <w:i/>
          <w:sz w:val="28"/>
        </w:rPr>
        <w:t>GÉNÉRAL</w:t>
      </w:r>
    </w:p>
    <w:p w:rsidR="003F3DD2" w:rsidRDefault="003F3DD2">
      <w:pPr>
        <w:pStyle w:val="ParNorm"/>
        <w:spacing w:before="600" w:after="840" w:line="360" w:lineRule="auto"/>
        <w:rPr>
          <w:b/>
          <w:caps/>
        </w:rPr>
      </w:pPr>
      <w:r>
        <w:rPr>
          <w:b/>
          <w:caps/>
        </w:rPr>
        <w:t>imp</w:t>
      </w:r>
      <w:r w:rsidR="00991B36">
        <w:rPr>
          <w:b/>
          <w:caps/>
        </w:rPr>
        <w:t>Ô</w:t>
      </w:r>
      <w:r>
        <w:rPr>
          <w:b/>
          <w:caps/>
        </w:rPr>
        <w:t>t</w:t>
      </w:r>
      <w:r w:rsidR="007D3D3A">
        <w:rPr>
          <w:b/>
          <w:caps/>
        </w:rPr>
        <w:t xml:space="preserve"> foncier</w:t>
      </w:r>
    </w:p>
    <w:p w:rsidR="003F3DD2" w:rsidRDefault="003F3DD2">
      <w:pPr>
        <w:pStyle w:val="ParNorm"/>
      </w:pPr>
      <w:r>
        <w:t xml:space="preserve">LE CONSEIL </w:t>
      </w:r>
      <w:r w:rsidR="00991B36">
        <w:t>GÉNÉRAL</w:t>
      </w:r>
    </w:p>
    <w:p w:rsidR="003F3DD2" w:rsidRDefault="003F3DD2">
      <w:pPr>
        <w:pStyle w:val="ParNorm"/>
      </w:pPr>
      <w:proofErr w:type="gramStart"/>
      <w:r>
        <w:t>vu</w:t>
      </w:r>
      <w:proofErr w:type="gramEnd"/>
      <w:r>
        <w:t xml:space="preserve"> le rapport du Conseil communal, du ....;</w:t>
      </w:r>
    </w:p>
    <w:p w:rsidR="003F3DD2" w:rsidRDefault="003F3DD2">
      <w:pPr>
        <w:pStyle w:val="ParNorm"/>
      </w:pPr>
      <w:proofErr w:type="gramStart"/>
      <w:r>
        <w:t>vu</w:t>
      </w:r>
      <w:proofErr w:type="gramEnd"/>
      <w:r>
        <w:t xml:space="preserve"> la loi sur les contributions directes, du 21 mars 2000 (</w:t>
      </w:r>
      <w:proofErr w:type="spellStart"/>
      <w:r>
        <w:t>LCdir</w:t>
      </w:r>
      <w:proofErr w:type="spellEnd"/>
      <w:r>
        <w:t>);</w:t>
      </w:r>
    </w:p>
    <w:p w:rsidR="003F3DD2" w:rsidRDefault="003F3DD2">
      <w:pPr>
        <w:pStyle w:val="ParNorm"/>
      </w:pPr>
      <w:proofErr w:type="gramStart"/>
      <w:r>
        <w:t>vu</w:t>
      </w:r>
      <w:proofErr w:type="gramEnd"/>
      <w:r>
        <w:t xml:space="preserve"> la loi sur les communes, du 21 décembre 1964;</w:t>
      </w:r>
    </w:p>
    <w:p w:rsidR="003F3DD2" w:rsidRDefault="003F3DD2">
      <w:pPr>
        <w:pStyle w:val="ParNorm"/>
        <w:spacing w:after="0"/>
      </w:pPr>
      <w:proofErr w:type="gramStart"/>
      <w:r>
        <w:t>sur</w:t>
      </w:r>
      <w:proofErr w:type="gramEnd"/>
      <w:r>
        <w:t xml:space="preserve"> la proposition du Conseil communal,</w:t>
      </w:r>
    </w:p>
    <w:p w:rsidR="003F3DD2" w:rsidRDefault="003F3DD2">
      <w:pPr>
        <w:pStyle w:val="ParArr"/>
        <w:spacing w:after="720"/>
        <w:ind w:left="0"/>
      </w:pPr>
      <w:proofErr w:type="gramStart"/>
      <w:r>
        <w:t>arrête</w:t>
      </w:r>
      <w:proofErr w:type="gramEnd"/>
      <w:r>
        <w:t>:</w:t>
      </w:r>
    </w:p>
    <w:tbl>
      <w:tblPr>
        <w:tblW w:w="8292" w:type="dxa"/>
        <w:tblInd w:w="-68" w:type="dxa"/>
        <w:tblLayout w:type="fixed"/>
        <w:tblCellMar>
          <w:left w:w="70" w:type="dxa"/>
          <w:right w:w="70" w:type="dxa"/>
        </w:tblCellMar>
        <w:tblLook w:val="0000" w:firstRow="0" w:lastRow="0" w:firstColumn="0" w:lastColumn="0" w:noHBand="0" w:noVBand="0"/>
      </w:tblPr>
      <w:tblGrid>
        <w:gridCol w:w="1913"/>
        <w:gridCol w:w="6379"/>
      </w:tblGrid>
      <w:tr w:rsidR="002D0C5A" w:rsidTr="00FF6FF5">
        <w:trPr>
          <w:cantSplit/>
        </w:trPr>
        <w:tc>
          <w:tcPr>
            <w:tcW w:w="1913" w:type="dxa"/>
          </w:tcPr>
          <w:p w:rsidR="002D0C5A" w:rsidRDefault="002D0C5A" w:rsidP="00462D40">
            <w:pPr>
              <w:pStyle w:val="parxp"/>
              <w:spacing w:after="0"/>
              <w:jc w:val="left"/>
            </w:pPr>
            <w:r>
              <w:t>Impôt foncier</w:t>
            </w:r>
          </w:p>
        </w:tc>
        <w:tc>
          <w:tcPr>
            <w:tcW w:w="6379" w:type="dxa"/>
          </w:tcPr>
          <w:p w:rsidR="00FF6FF5" w:rsidRDefault="00FF6FF5" w:rsidP="00FF6FF5">
            <w:pPr>
              <w:pStyle w:val="Default"/>
              <w:jc w:val="both"/>
              <w:rPr>
                <w:sz w:val="22"/>
                <w:szCs w:val="22"/>
              </w:rPr>
            </w:pPr>
            <w:r w:rsidRPr="002D0C5A">
              <w:rPr>
                <w:b/>
              </w:rPr>
              <w:t>Art. premier   </w:t>
            </w:r>
            <w:r>
              <w:rPr>
                <w:sz w:val="22"/>
                <w:szCs w:val="22"/>
                <w:vertAlign w:val="superscript"/>
              </w:rPr>
              <w:t xml:space="preserve"> 1</w:t>
            </w:r>
            <w:r>
              <w:rPr>
                <w:sz w:val="22"/>
                <w:szCs w:val="22"/>
              </w:rPr>
              <w:t>La Commune prélève chaque année un impôt sur les immeubles ou parts d'immeubles estimés à la valeur cadastrale, sans aucune déduction des dettes, et qui appartiennent :</w:t>
            </w:r>
          </w:p>
          <w:p w:rsidR="00FF6FF5" w:rsidRDefault="00FF6FF5" w:rsidP="00FF6FF5">
            <w:pPr>
              <w:pStyle w:val="Default"/>
              <w:rPr>
                <w:color w:val="auto"/>
                <w:sz w:val="22"/>
                <w:szCs w:val="22"/>
              </w:rPr>
            </w:pPr>
          </w:p>
          <w:p w:rsidR="00FF6FF5" w:rsidRDefault="00FF6FF5" w:rsidP="00FF6FF5">
            <w:pPr>
              <w:pStyle w:val="Paragraphedeliste"/>
              <w:numPr>
                <w:ilvl w:val="0"/>
                <w:numId w:val="3"/>
              </w:numPr>
              <w:ind w:left="350" w:hanging="350"/>
              <w:jc w:val="both"/>
              <w:rPr>
                <w:rFonts w:ascii="Arial" w:hAnsi="Arial" w:cs="Arial"/>
              </w:rPr>
            </w:pPr>
            <w:proofErr w:type="gramStart"/>
            <w:r>
              <w:rPr>
                <w:rFonts w:ascii="Arial" w:hAnsi="Arial" w:cs="Arial"/>
              </w:rPr>
              <w:t>aux</w:t>
            </w:r>
            <w:proofErr w:type="gramEnd"/>
            <w:r>
              <w:rPr>
                <w:rFonts w:ascii="Arial" w:hAnsi="Arial" w:cs="Arial"/>
              </w:rPr>
              <w:t xml:space="preserve"> institutions de prévoyance mentionnées à l’article 81, alinéa 1, lettre </w:t>
            </w:r>
            <w:r>
              <w:rPr>
                <w:rFonts w:ascii="Arial" w:hAnsi="Arial" w:cs="Arial"/>
                <w:i/>
                <w:iCs/>
              </w:rPr>
              <w:t>d</w:t>
            </w:r>
            <w:r>
              <w:rPr>
                <w:rFonts w:ascii="Arial" w:hAnsi="Arial" w:cs="Arial"/>
              </w:rPr>
              <w:t>, aux personnes morales, aux fonds immobiliers au sens de l’article 58 LPCC, ainsi qu’aux personnes physiques si ces immeubles sont des immeubles de placement au sens des articles 111 et 112</w:t>
            </w:r>
            <w:r w:rsidR="00EA1684" w:rsidRPr="00315A47">
              <w:rPr>
                <w:rFonts w:ascii="Arial" w:hAnsi="Arial" w:cs="Arial"/>
                <w:i/>
              </w:rPr>
              <w:t>a</w:t>
            </w:r>
            <w:r w:rsidR="00EA1684">
              <w:rPr>
                <w:rFonts w:ascii="Arial" w:hAnsi="Arial" w:cs="Arial"/>
              </w:rPr>
              <w:t xml:space="preserve"> </w:t>
            </w:r>
            <w:proofErr w:type="spellStart"/>
            <w:r w:rsidR="00EA1684">
              <w:rPr>
                <w:rFonts w:ascii="Arial" w:hAnsi="Arial" w:cs="Arial"/>
              </w:rPr>
              <w:t>LCdir</w:t>
            </w:r>
            <w:proofErr w:type="spellEnd"/>
            <w:r>
              <w:rPr>
                <w:rFonts w:ascii="Arial" w:hAnsi="Arial" w:cs="Arial"/>
                <w:i/>
              </w:rPr>
              <w:t> </w:t>
            </w:r>
            <w:r>
              <w:rPr>
                <w:rFonts w:ascii="Arial" w:hAnsi="Arial" w:cs="Arial"/>
              </w:rPr>
              <w:t>;</w:t>
            </w:r>
          </w:p>
          <w:p w:rsidR="002D0C5A" w:rsidRPr="002D0C5A" w:rsidRDefault="00FF6FF5" w:rsidP="00FF6FF5">
            <w:pPr>
              <w:pStyle w:val="xNormal"/>
              <w:numPr>
                <w:ilvl w:val="0"/>
                <w:numId w:val="3"/>
              </w:numPr>
              <w:ind w:left="350" w:hanging="283"/>
              <w:rPr>
                <w:b/>
                <w:color w:val="FF0000"/>
              </w:rPr>
            </w:pPr>
            <w:r>
              <w:t>à l'État, à d'autres communes, à des syndicats intercommunaux ou à des établissements qui en dépendent et qui ne sont pas dotés d'une personnalité juridique propre, si ces immeubles et parts d'immeubles ne servent pas directement à la réalisation de leur but.</w:t>
            </w:r>
          </w:p>
        </w:tc>
      </w:tr>
      <w:tr w:rsidR="003F3DD2" w:rsidTr="00FF6FF5">
        <w:trPr>
          <w:cantSplit/>
        </w:trPr>
        <w:tc>
          <w:tcPr>
            <w:tcW w:w="1913" w:type="dxa"/>
          </w:tcPr>
          <w:p w:rsidR="003F3DD2" w:rsidRDefault="003F3DD2">
            <w:pPr>
              <w:pStyle w:val="parxp"/>
              <w:spacing w:after="480"/>
              <w:jc w:val="left"/>
            </w:pPr>
          </w:p>
        </w:tc>
        <w:tc>
          <w:tcPr>
            <w:tcW w:w="6379" w:type="dxa"/>
          </w:tcPr>
          <w:p w:rsidR="003F3DD2" w:rsidRDefault="00FF6FF5" w:rsidP="00315A47">
            <w:pPr>
              <w:pStyle w:val="parxp"/>
              <w:spacing w:after="480"/>
            </w:pPr>
            <w:r>
              <w:rPr>
                <w:vertAlign w:val="superscript"/>
              </w:rPr>
              <w:t>2</w:t>
            </w:r>
            <w:r w:rsidR="003F3DD2">
              <w:t>Le taux de l'impôt est</w:t>
            </w:r>
            <w:r>
              <w:t xml:space="preserve"> </w:t>
            </w:r>
            <w:r w:rsidR="00315A47">
              <w:t>d</w:t>
            </w:r>
            <w:bookmarkStart w:id="0" w:name="_GoBack"/>
            <w:bookmarkEnd w:id="0"/>
            <w:r>
              <w:t>e</w:t>
            </w:r>
            <w:r w:rsidR="003F3DD2">
              <w:t xml:space="preserve"> ... </w:t>
            </w:r>
            <w:r w:rsidR="003F3DD2">
              <w:rPr>
                <w:vertAlign w:val="superscript"/>
              </w:rPr>
              <w:t>0</w:t>
            </w:r>
            <w:r w:rsidR="003F3DD2">
              <w:rPr>
                <w:szCs w:val="22"/>
              </w:rPr>
              <w:sym w:font="Symbol" w:char="F02F"/>
            </w:r>
            <w:r w:rsidR="003F3DD2">
              <w:rPr>
                <w:vertAlign w:val="subscript"/>
              </w:rPr>
              <w:t>00</w:t>
            </w:r>
            <w:r w:rsidR="00EA1684">
              <w:t xml:space="preserve"> pour les immeubles et parts d’immeubles visés à l’alinéa 1</w:t>
            </w:r>
            <w:r w:rsidR="003F3DD2">
              <w:t xml:space="preserve">. </w:t>
            </w:r>
            <w:r w:rsidR="003F3DD2" w:rsidRPr="00FF6FF5">
              <w:rPr>
                <w:i/>
                <w:color w:val="FF0000"/>
              </w:rPr>
              <w:t>(Maximum légal: 1,</w:t>
            </w:r>
            <w:r w:rsidR="00D075BE" w:rsidRPr="00FF6FF5">
              <w:rPr>
                <w:i/>
                <w:color w:val="FF0000"/>
              </w:rPr>
              <w:t>6</w:t>
            </w:r>
            <w:r w:rsidR="003F3DD2" w:rsidRPr="00FF6FF5">
              <w:rPr>
                <w:i/>
                <w:color w:val="FF0000"/>
              </w:rPr>
              <w:t> </w:t>
            </w:r>
            <w:r w:rsidR="003F3DD2" w:rsidRPr="00FF6FF5">
              <w:rPr>
                <w:i/>
                <w:color w:val="FF0000"/>
                <w:vertAlign w:val="superscript"/>
              </w:rPr>
              <w:t>0</w:t>
            </w:r>
            <w:r w:rsidR="003F3DD2" w:rsidRPr="00FF6FF5">
              <w:rPr>
                <w:i/>
                <w:color w:val="FF0000"/>
                <w:szCs w:val="22"/>
              </w:rPr>
              <w:sym w:font="Symbol" w:char="F02F"/>
            </w:r>
            <w:r w:rsidR="003F3DD2" w:rsidRPr="00FF6FF5">
              <w:rPr>
                <w:i/>
                <w:color w:val="FF0000"/>
                <w:vertAlign w:val="subscript"/>
              </w:rPr>
              <w:t>00</w:t>
            </w:r>
            <w:r w:rsidR="003F3DD2" w:rsidRPr="00FF6FF5">
              <w:rPr>
                <w:i/>
                <w:color w:val="FF0000"/>
              </w:rPr>
              <w:t xml:space="preserve">; cf. article 273 alinéa 2 </w:t>
            </w:r>
            <w:proofErr w:type="spellStart"/>
            <w:r w:rsidR="003F3DD2" w:rsidRPr="00FF6FF5">
              <w:rPr>
                <w:i/>
                <w:color w:val="FF0000"/>
              </w:rPr>
              <w:t>LCdir</w:t>
            </w:r>
            <w:proofErr w:type="spellEnd"/>
            <w:r w:rsidR="003F3DD2" w:rsidRPr="00FF6FF5">
              <w:rPr>
                <w:i/>
                <w:color w:val="FF0000"/>
              </w:rPr>
              <w:t>)</w:t>
            </w:r>
          </w:p>
        </w:tc>
      </w:tr>
      <w:tr w:rsidR="003F3DD2" w:rsidTr="00FF6FF5">
        <w:trPr>
          <w:cantSplit/>
        </w:trPr>
        <w:tc>
          <w:tcPr>
            <w:tcW w:w="1913" w:type="dxa"/>
          </w:tcPr>
          <w:p w:rsidR="003F3DD2" w:rsidRDefault="003F3DD2">
            <w:pPr>
              <w:pStyle w:val="par1p"/>
              <w:jc w:val="left"/>
            </w:pPr>
            <w:r>
              <w:t>Abrogation</w:t>
            </w:r>
          </w:p>
        </w:tc>
        <w:tc>
          <w:tcPr>
            <w:tcW w:w="6379" w:type="dxa"/>
          </w:tcPr>
          <w:p w:rsidR="003F3DD2" w:rsidRDefault="003F3DD2" w:rsidP="00FF6FF5">
            <w:pPr>
              <w:pStyle w:val="par1p"/>
            </w:pPr>
            <w:r>
              <w:rPr>
                <w:b/>
              </w:rPr>
              <w:t>Art. </w:t>
            </w:r>
            <w:r w:rsidR="002D0C5A">
              <w:rPr>
                <w:b/>
              </w:rPr>
              <w:t>2</w:t>
            </w:r>
            <w:r>
              <w:t>   Le présent arrêté abroge toutes dispositions antérieures contraires.</w:t>
            </w:r>
          </w:p>
        </w:tc>
      </w:tr>
      <w:tr w:rsidR="003F3DD2" w:rsidTr="00FF6FF5">
        <w:trPr>
          <w:cantSplit/>
        </w:trPr>
        <w:tc>
          <w:tcPr>
            <w:tcW w:w="1913" w:type="dxa"/>
          </w:tcPr>
          <w:p w:rsidR="003F3DD2" w:rsidRDefault="003F3DD2">
            <w:pPr>
              <w:pStyle w:val="par1p"/>
              <w:jc w:val="left"/>
            </w:pPr>
            <w:r>
              <w:lastRenderedPageBreak/>
              <w:t>Entrée en</w:t>
            </w:r>
            <w:r>
              <w:br/>
              <w:t>vigueur</w:t>
            </w:r>
          </w:p>
        </w:tc>
        <w:tc>
          <w:tcPr>
            <w:tcW w:w="6379" w:type="dxa"/>
          </w:tcPr>
          <w:p w:rsidR="003F3DD2" w:rsidRDefault="003F3DD2" w:rsidP="00FF6FF5">
            <w:pPr>
              <w:pStyle w:val="par1p"/>
            </w:pPr>
            <w:r>
              <w:rPr>
                <w:b/>
              </w:rPr>
              <w:t>Art. </w:t>
            </w:r>
            <w:r w:rsidR="002D0C5A">
              <w:rPr>
                <w:b/>
              </w:rPr>
              <w:t>3</w:t>
            </w:r>
            <w:r>
              <w:t xml:space="preserve">   Le Conseil communal est chargé de l'application du présent arrêté, qui entre en vigueur au 1er janvier </w:t>
            </w:r>
            <w:r w:rsidR="00FF6FF5" w:rsidRPr="00FF6FF5">
              <w:t>2020</w:t>
            </w:r>
            <w:r>
              <w:t>.</w:t>
            </w:r>
          </w:p>
        </w:tc>
      </w:tr>
      <w:tr w:rsidR="003F3DD2" w:rsidTr="00FF6FF5">
        <w:trPr>
          <w:cantSplit/>
        </w:trPr>
        <w:tc>
          <w:tcPr>
            <w:tcW w:w="1913" w:type="dxa"/>
          </w:tcPr>
          <w:p w:rsidR="003F3DD2" w:rsidRDefault="003F3DD2">
            <w:pPr>
              <w:pStyle w:val="par1p"/>
              <w:jc w:val="left"/>
            </w:pPr>
            <w:r>
              <w:t>Sanction</w:t>
            </w:r>
          </w:p>
        </w:tc>
        <w:tc>
          <w:tcPr>
            <w:tcW w:w="6379" w:type="dxa"/>
          </w:tcPr>
          <w:p w:rsidR="003F3DD2" w:rsidRDefault="003F3DD2" w:rsidP="002D0C5A">
            <w:pPr>
              <w:pStyle w:val="par1p"/>
            </w:pPr>
            <w:r>
              <w:rPr>
                <w:b/>
              </w:rPr>
              <w:t>Art. </w:t>
            </w:r>
            <w:r w:rsidR="002D0C5A">
              <w:rPr>
                <w:b/>
              </w:rPr>
              <w:t>4</w:t>
            </w:r>
            <w:r>
              <w:t>   Le présent arrêté sera soumis à la sanction du Conseil d'</w:t>
            </w:r>
            <w:r w:rsidR="00991B36">
              <w:t>État</w:t>
            </w:r>
            <w:r>
              <w:t>, à l'expiration du délai référendaire.</w:t>
            </w:r>
          </w:p>
        </w:tc>
      </w:tr>
    </w:tbl>
    <w:p w:rsidR="003F3DD2" w:rsidRDefault="003F3DD2">
      <w:pPr>
        <w:pStyle w:val="PartArts"/>
      </w:pPr>
    </w:p>
    <w:p w:rsidR="003F3DD2" w:rsidRDefault="003F3DD2">
      <w:pPr>
        <w:pStyle w:val="ParNorm"/>
        <w:spacing w:after="360"/>
      </w:pPr>
      <w:r>
        <w:t>............,</w:t>
      </w:r>
      <w:r>
        <w:tab/>
        <w:t>le</w:t>
      </w:r>
    </w:p>
    <w:p w:rsidR="003F3DD2" w:rsidRDefault="003F3DD2">
      <w:pPr>
        <w:pStyle w:val="ParNorm"/>
        <w:spacing w:after="360"/>
        <w:jc w:val="right"/>
      </w:pPr>
      <w:r>
        <w:t xml:space="preserve">AU NOM DU CONSEIL </w:t>
      </w:r>
      <w:r w:rsidR="00991B36">
        <w:t>GÉNÉRAL</w:t>
      </w:r>
    </w:p>
    <w:sectPr w:rsidR="003F3DD2" w:rsidSect="003F3DD2">
      <w:headerReference w:type="default" r:id="rId7"/>
      <w:footerReference w:type="default" r:id="rId8"/>
      <w:pgSz w:w="11907" w:h="16840" w:code="9"/>
      <w:pgMar w:top="1701" w:right="1418" w:bottom="1418" w:left="2268" w:header="567" w:footer="567"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DD2" w:rsidRDefault="003F3DD2">
      <w:r>
        <w:separator/>
      </w:r>
    </w:p>
  </w:endnote>
  <w:endnote w:type="continuationSeparator" w:id="0">
    <w:p w:rsidR="003F3DD2" w:rsidRDefault="003F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D2" w:rsidRDefault="003F3DD2">
    <w:pPr>
      <w:pStyle w:val="Pieddepage"/>
      <w:tabs>
        <w:tab w:val="clear" w:pos="4536"/>
        <w:tab w:val="clear" w:pos="9072"/>
        <w:tab w:val="right" w:pos="8222"/>
      </w:tabs>
      <w:jc w:val="right"/>
    </w:pPr>
    <w:r>
      <w:rPr>
        <w:rStyle w:val="Numrodepage"/>
      </w:rPr>
      <w:fldChar w:fldCharType="begin"/>
    </w:r>
    <w:r>
      <w:rPr>
        <w:rStyle w:val="Numrodepage"/>
      </w:rPr>
      <w:instrText xml:space="preserve"> PAGE </w:instrText>
    </w:r>
    <w:r>
      <w:rPr>
        <w:rStyle w:val="Numrodepage"/>
      </w:rPr>
      <w:fldChar w:fldCharType="separate"/>
    </w:r>
    <w:r w:rsidR="00315A47">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DD2" w:rsidRDefault="003F3DD2">
      <w:r>
        <w:separator/>
      </w:r>
    </w:p>
  </w:footnote>
  <w:footnote w:type="continuationSeparator" w:id="0">
    <w:p w:rsidR="003F3DD2" w:rsidRDefault="003F3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DD2" w:rsidRDefault="003F3D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152E"/>
    <w:multiLevelType w:val="hybridMultilevel"/>
    <w:tmpl w:val="79180A58"/>
    <w:lvl w:ilvl="0" w:tplc="A6ACBEF0">
      <w:start w:val="1"/>
      <w:numFmt w:val="lowerLetter"/>
      <w:lvlText w:val="%1)"/>
      <w:lvlJc w:val="left"/>
      <w:pPr>
        <w:ind w:left="720" w:hanging="360"/>
      </w:pPr>
      <w:rPr>
        <w:i/>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1" w15:restartNumberingAfterBreak="0">
    <w:nsid w:val="31F660DB"/>
    <w:multiLevelType w:val="hybridMultilevel"/>
    <w:tmpl w:val="FB8CACE6"/>
    <w:lvl w:ilvl="0" w:tplc="725A699A">
      <w:start w:val="1"/>
      <w:numFmt w:val="lowerLetter"/>
      <w:lvlText w:val="%1)"/>
      <w:lvlJc w:val="left"/>
      <w:pPr>
        <w:ind w:left="720" w:hanging="360"/>
      </w:pPr>
      <w:rPr>
        <w:b w:val="0"/>
        <w:i/>
        <w:color w:val="auto"/>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intFractionalCharacterWidth/>
  <w:proofState w:spelling="clean" w:grammar="clean"/>
  <w:attachedTemplate r:id="rId1"/>
  <w:defaultTabStop w:val="454"/>
  <w:hyphenationZone w:val="57"/>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D2"/>
    <w:rsid w:val="001D7E92"/>
    <w:rsid w:val="002D0C5A"/>
    <w:rsid w:val="00315A47"/>
    <w:rsid w:val="003F3DD2"/>
    <w:rsid w:val="005F0DEF"/>
    <w:rsid w:val="007D3D3A"/>
    <w:rsid w:val="00991B36"/>
    <w:rsid w:val="00D075BE"/>
    <w:rsid w:val="00EA1684"/>
    <w:rsid w:val="00FF6FF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ECAB27"/>
  <w15:docId w15:val="{23F9B72C-5D15-4C12-AE9A-3ACF85AF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CG Times"/>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cs="Times New Roman"/>
      <w:sz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pPr>
      <w:tabs>
        <w:tab w:val="center" w:pos="4819"/>
        <w:tab w:val="right" w:pos="9071"/>
      </w:tabs>
    </w:pPr>
  </w:style>
  <w:style w:type="character" w:customStyle="1" w:styleId="En-tteCar">
    <w:name w:val="En-tête Car"/>
    <w:basedOn w:val="Policepardfaut"/>
    <w:link w:val="En-tte"/>
    <w:uiPriority w:val="99"/>
    <w:semiHidden/>
    <w:rsid w:val="003F3DD2"/>
    <w:rPr>
      <w:rFonts w:ascii="Arial" w:hAnsi="Arial" w:cs="Times New Roman"/>
      <w:sz w:val="22"/>
      <w:lang w:val="fr-FR" w:eastAsia="fr-FR"/>
    </w:rPr>
  </w:style>
  <w:style w:type="paragraph" w:customStyle="1" w:styleId="ParNorm">
    <w:name w:val="ParNorm"/>
    <w:basedOn w:val="Normal"/>
    <w:pPr>
      <w:spacing w:after="240"/>
      <w:jc w:val="both"/>
    </w:pPr>
  </w:style>
  <w:style w:type="paragraph" w:customStyle="1" w:styleId="ParArr">
    <w:name w:val="ParArr"/>
    <w:basedOn w:val="Normal"/>
    <w:pPr>
      <w:spacing w:before="240" w:after="480"/>
      <w:ind w:left="2268"/>
    </w:pPr>
  </w:style>
  <w:style w:type="paragraph" w:customStyle="1" w:styleId="Date1">
    <w:name w:val="Date1"/>
    <w:basedOn w:val="Normal"/>
    <w:pPr>
      <w:spacing w:before="240" w:after="480"/>
      <w:ind w:left="2268"/>
    </w:pPr>
  </w:style>
  <w:style w:type="paragraph" w:customStyle="1" w:styleId="sicepc">
    <w:name w:val="sicepc"/>
    <w:basedOn w:val="Normal"/>
    <w:pPr>
      <w:tabs>
        <w:tab w:val="left" w:pos="7938"/>
      </w:tabs>
      <w:spacing w:after="240"/>
      <w:ind w:left="5245"/>
    </w:pPr>
  </w:style>
  <w:style w:type="paragraph" w:customStyle="1" w:styleId="ParArt">
    <w:name w:val="ParArt"/>
    <w:basedOn w:val="ParNorm"/>
    <w:pPr>
      <w:spacing w:after="480"/>
    </w:pPr>
  </w:style>
  <w:style w:type="paragraph" w:customStyle="1" w:styleId="cepc">
    <w:name w:val="cepc"/>
    <w:basedOn w:val="sicepc"/>
  </w:style>
  <w:style w:type="paragraph" w:customStyle="1" w:styleId="sicepopc">
    <w:name w:val="sicepopc"/>
    <w:basedOn w:val="Normal"/>
    <w:pPr>
      <w:tabs>
        <w:tab w:val="left" w:pos="7939"/>
      </w:tabs>
      <w:spacing w:after="240"/>
      <w:ind w:left="5245"/>
    </w:pPr>
  </w:style>
  <w:style w:type="paragraph" w:customStyle="1" w:styleId="sicevpc">
    <w:name w:val="sicevpc"/>
    <w:basedOn w:val="Normal"/>
    <w:pPr>
      <w:tabs>
        <w:tab w:val="left" w:pos="7938"/>
      </w:tabs>
      <w:spacing w:after="240"/>
      <w:ind w:left="5103"/>
    </w:pPr>
  </w:style>
  <w:style w:type="paragraph" w:customStyle="1" w:styleId="siceppoc">
    <w:name w:val="siceppoc"/>
    <w:basedOn w:val="Normal"/>
    <w:pPr>
      <w:tabs>
        <w:tab w:val="left" w:pos="7230"/>
      </w:tabs>
      <w:spacing w:after="240"/>
      <w:ind w:left="5103"/>
    </w:pPr>
  </w:style>
  <w:style w:type="paragraph" w:customStyle="1" w:styleId="sicepppc">
    <w:name w:val="sicepppc"/>
    <w:basedOn w:val="Normal"/>
    <w:pPr>
      <w:spacing w:after="240" w:line="240" w:lineRule="atLeast"/>
      <w:ind w:left="4678"/>
    </w:pPr>
  </w:style>
  <w:style w:type="paragraph" w:customStyle="1" w:styleId="sicevppc">
    <w:name w:val="sicevppc"/>
    <w:basedOn w:val="Normal"/>
    <w:pPr>
      <w:tabs>
        <w:tab w:val="left" w:pos="7230"/>
      </w:tabs>
      <w:spacing w:after="240"/>
      <w:ind w:left="4678"/>
    </w:pPr>
  </w:style>
  <w:style w:type="character" w:styleId="Marquedecommentaire">
    <w:name w:val="annotation reference"/>
    <w:basedOn w:val="Policepardfaut"/>
    <w:uiPriority w:val="99"/>
    <w:semiHidden/>
    <w:rPr>
      <w:rFonts w:cs="Times New Roman"/>
      <w:sz w:val="16"/>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rsid w:val="003F3DD2"/>
    <w:rPr>
      <w:rFonts w:ascii="Arial" w:hAnsi="Arial" w:cs="Times New Roman"/>
      <w:sz w:val="22"/>
      <w:lang w:val="fr-FR" w:eastAsia="fr-FR"/>
    </w:rPr>
  </w:style>
  <w:style w:type="paragraph" w:customStyle="1" w:styleId="texte-point">
    <w:name w:val="texte-point"/>
    <w:basedOn w:val="Normal"/>
    <w:pPr>
      <w:tabs>
        <w:tab w:val="left" w:pos="2694"/>
        <w:tab w:val="left" w:leader="dot" w:pos="9214"/>
      </w:tabs>
      <w:spacing w:after="240"/>
      <w:ind w:left="3119" w:hanging="3119"/>
    </w:pPr>
  </w:style>
  <w:style w:type="paragraph" w:customStyle="1" w:styleId="PartArts">
    <w:name w:val="PartArts"/>
    <w:basedOn w:val="ParNorm"/>
    <w:pPr>
      <w:spacing w:after="480"/>
    </w:pPr>
  </w:style>
  <w:style w:type="paragraph" w:styleId="Notedebasdepage">
    <w:name w:val="footnote text"/>
    <w:basedOn w:val="Normal"/>
    <w:link w:val="NotedebasdepageCar"/>
    <w:uiPriority w:val="99"/>
    <w:semiHidden/>
    <w:rPr>
      <w:sz w:val="20"/>
    </w:rPr>
  </w:style>
  <w:style w:type="character" w:customStyle="1" w:styleId="NotedebasdepageCar">
    <w:name w:val="Note de bas de page Car"/>
    <w:basedOn w:val="Policepardfaut"/>
    <w:link w:val="Notedebasdepage"/>
    <w:uiPriority w:val="99"/>
    <w:semiHidden/>
    <w:rsid w:val="003F3DD2"/>
    <w:rPr>
      <w:rFonts w:ascii="Arial" w:hAnsi="Arial" w:cs="Times New Roman"/>
      <w:lang w:val="fr-FR" w:eastAsia="fr-FR"/>
    </w:rPr>
  </w:style>
  <w:style w:type="character" w:styleId="Appelnotedebasdep">
    <w:name w:val="footnote reference"/>
    <w:basedOn w:val="Policepardfaut"/>
    <w:uiPriority w:val="99"/>
    <w:semiHidden/>
    <w:rPr>
      <w:rFonts w:cs="Times New Roman"/>
      <w:vertAlign w:val="superscript"/>
    </w:rPr>
  </w:style>
  <w:style w:type="paragraph" w:styleId="Commentaire">
    <w:name w:val="annotation text"/>
    <w:basedOn w:val="Normal"/>
    <w:link w:val="CommentaireCar"/>
    <w:uiPriority w:val="99"/>
    <w:semiHidden/>
    <w:rPr>
      <w:sz w:val="20"/>
    </w:rPr>
  </w:style>
  <w:style w:type="character" w:customStyle="1" w:styleId="CommentaireCar">
    <w:name w:val="Commentaire Car"/>
    <w:basedOn w:val="Policepardfaut"/>
    <w:link w:val="Commentaire"/>
    <w:uiPriority w:val="99"/>
    <w:semiHidden/>
    <w:rsid w:val="003F3DD2"/>
    <w:rPr>
      <w:rFonts w:ascii="Arial" w:hAnsi="Arial" w:cs="Times New Roman"/>
      <w:lang w:val="fr-FR" w:eastAsia="fr-FR"/>
    </w:rPr>
  </w:style>
  <w:style w:type="character" w:styleId="Numrodepage">
    <w:name w:val="page number"/>
    <w:basedOn w:val="Policepardfaut"/>
    <w:uiPriority w:val="99"/>
    <w:semiHidden/>
    <w:rPr>
      <w:rFonts w:cs="Times New Roman"/>
    </w:rPr>
  </w:style>
  <w:style w:type="paragraph" w:customStyle="1" w:styleId="parxp">
    <w:name w:val="parxp"/>
    <w:basedOn w:val="Normal"/>
    <w:pPr>
      <w:spacing w:after="240"/>
      <w:jc w:val="both"/>
    </w:pPr>
  </w:style>
  <w:style w:type="paragraph" w:customStyle="1" w:styleId="par1p">
    <w:name w:val="par1p"/>
    <w:basedOn w:val="parxp"/>
    <w:pPr>
      <w:spacing w:after="480"/>
    </w:pPr>
  </w:style>
  <w:style w:type="paragraph" w:customStyle="1" w:styleId="contenu">
    <w:name w:val="contenu"/>
    <w:basedOn w:val="Normal"/>
    <w:pPr>
      <w:spacing w:before="480" w:after="480"/>
      <w:jc w:val="center"/>
    </w:pPr>
    <w:rPr>
      <w:b/>
      <w:sz w:val="24"/>
    </w:rPr>
  </w:style>
  <w:style w:type="paragraph" w:customStyle="1" w:styleId="chapitre">
    <w:name w:val="chapitre"/>
    <w:basedOn w:val="Normal"/>
    <w:pPr>
      <w:spacing w:before="720" w:after="720"/>
      <w:jc w:val="center"/>
    </w:pPr>
    <w:rPr>
      <w:b/>
      <w:sz w:val="24"/>
    </w:rPr>
  </w:style>
  <w:style w:type="paragraph" w:styleId="Paragraphedeliste">
    <w:name w:val="List Paragraph"/>
    <w:basedOn w:val="Normal"/>
    <w:uiPriority w:val="34"/>
    <w:qFormat/>
    <w:rsid w:val="00FF6FF5"/>
    <w:pPr>
      <w:overflowPunct/>
      <w:autoSpaceDE/>
      <w:autoSpaceDN/>
      <w:adjustRightInd/>
      <w:spacing w:after="160" w:line="256" w:lineRule="auto"/>
      <w:ind w:left="720"/>
      <w:contextualSpacing/>
      <w:textAlignment w:val="auto"/>
    </w:pPr>
    <w:rPr>
      <w:rFonts w:asciiTheme="minorHAnsi" w:eastAsiaTheme="minorHAnsi" w:hAnsiTheme="minorHAnsi" w:cstheme="minorBidi"/>
      <w:szCs w:val="22"/>
      <w:lang w:val="fr-CH" w:eastAsia="en-US"/>
    </w:rPr>
  </w:style>
  <w:style w:type="paragraph" w:customStyle="1" w:styleId="xNormal">
    <w:name w:val="xNormal"/>
    <w:basedOn w:val="Normal"/>
    <w:rsid w:val="00FF6FF5"/>
    <w:pPr>
      <w:adjustRightInd/>
      <w:spacing w:after="120"/>
      <w:jc w:val="both"/>
      <w:textAlignment w:val="auto"/>
    </w:pPr>
    <w:rPr>
      <w:rFonts w:cs="Arial"/>
      <w:szCs w:val="22"/>
      <w:lang w:val="fr-CH" w:eastAsia="fr-CH"/>
    </w:rPr>
  </w:style>
  <w:style w:type="paragraph" w:customStyle="1" w:styleId="Default">
    <w:name w:val="Default"/>
    <w:rsid w:val="00FF6FF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492216">
      <w:bodyDiv w:val="1"/>
      <w:marLeft w:val="0"/>
      <w:marRight w:val="0"/>
      <w:marTop w:val="0"/>
      <w:marBottom w:val="0"/>
      <w:divBdr>
        <w:top w:val="none" w:sz="0" w:space="0" w:color="auto"/>
        <w:left w:val="none" w:sz="0" w:space="0" w:color="auto"/>
        <w:bottom w:val="none" w:sz="0" w:space="0" w:color="auto"/>
        <w:right w:val="none" w:sz="0" w:space="0" w:color="auto"/>
      </w:divBdr>
    </w:div>
    <w:div w:id="66035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FORMAT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F94CA1F5-11AC-467C-ADA1-50112A6A94CB}"/>
</file>

<file path=customXml/itemProps2.xml><?xml version="1.0" encoding="utf-8"?>
<ds:datastoreItem xmlns:ds="http://schemas.openxmlformats.org/officeDocument/2006/customXml" ds:itemID="{36F2C201-00C5-4867-8D1B-EDD685B9A708}"/>
</file>

<file path=customXml/itemProps3.xml><?xml version="1.0" encoding="utf-8"?>
<ds:datastoreItem xmlns:ds="http://schemas.openxmlformats.org/officeDocument/2006/customXml" ds:itemID="{8CDF5446-4BFB-4881-B02F-7DA97D82489A}"/>
</file>

<file path=docProps/app.xml><?xml version="1.0" encoding="utf-8"?>
<Properties xmlns="http://schemas.openxmlformats.org/officeDocument/2006/extended-properties" xmlns:vt="http://schemas.openxmlformats.org/officeDocument/2006/docPropsVTypes">
  <Template>FORMATAR.DOT</Template>
  <TotalTime>102</TotalTime>
  <Pages>2</Pages>
  <Words>255</Words>
  <Characters>1307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Modèle arrêté CG fixation du coefficient d'impôt</vt:lpstr>
    </vt:vector>
  </TitlesOfParts>
  <Company>Etat de Neuchâtel</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arrêté CG impôt foncier</dc:title>
  <dc:subject/>
  <dc:creator>Schenkel Marie-Madeleine</dc:creator>
  <cp:keywords/>
  <dc:description/>
  <cp:lastModifiedBy>Gattolliat Sylvie</cp:lastModifiedBy>
  <cp:revision>5</cp:revision>
  <cp:lastPrinted>2019-10-01T07:34:00Z</cp:lastPrinted>
  <dcterms:created xsi:type="dcterms:W3CDTF">2019-09-25T14:38:00Z</dcterms:created>
  <dcterms:modified xsi:type="dcterms:W3CDTF">2019-10-01T09:12:00Z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Acronyme">
    <vt:lpwstr>121;#SCOM|beaa4e20-5140-4353-9959-2d59772728cb</vt:lpwstr>
  </property>
  <property fmtid="{D5CDD505-2E9C-101B-9397-08002B2CF9AE}" pid="5" name="Theme">
    <vt:lpwstr/>
  </property>
  <property fmtid="{D5CDD505-2E9C-101B-9397-08002B2CF9AE}" pid="6" name="Departement">
    <vt:lpwstr/>
  </property>
  <property fmtid="{D5CDD505-2E9C-101B-9397-08002B2CF9AE}" pid="7" name="Type du document">
    <vt:lpwstr/>
  </property>
</Properties>
</file>