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B4" w:rsidRDefault="003126B4">
      <w:pPr>
        <w:pStyle w:val="ParNorm"/>
        <w:pBdr>
          <w:top w:val="single" w:sz="6" w:space="16" w:color="auto"/>
          <w:left w:val="single" w:sz="6" w:space="16" w:color="auto"/>
          <w:bottom w:val="single" w:sz="6" w:space="16" w:color="auto"/>
          <w:right w:val="single" w:sz="6" w:space="16" w:color="auto"/>
        </w:pBdr>
        <w:spacing w:after="0"/>
        <w:ind w:left="284"/>
        <w:jc w:val="center"/>
        <w:rPr>
          <w:b/>
          <w:i/>
          <w:sz w:val="28"/>
        </w:rPr>
      </w:pPr>
      <w:r>
        <w:rPr>
          <w:b/>
          <w:i/>
          <w:sz w:val="28"/>
        </w:rPr>
        <w:t>MODELE D'ARRETE DU CONSEIL GENERAL NO 16</w:t>
      </w:r>
    </w:p>
    <w:p w:rsidR="003126B4" w:rsidRDefault="003126B4">
      <w:pPr>
        <w:pStyle w:val="ParNorm"/>
        <w:spacing w:before="840" w:after="840"/>
        <w:rPr>
          <w:b/>
        </w:rPr>
      </w:pPr>
      <w:r>
        <w:rPr>
          <w:b/>
        </w:rPr>
        <w:t>TARIF DE VENTE DE L'EAU</w:t>
      </w:r>
    </w:p>
    <w:p w:rsidR="003126B4" w:rsidRDefault="003126B4">
      <w:pPr>
        <w:pStyle w:val="ParNorm"/>
      </w:pPr>
      <w:r>
        <w:t>LE CONSEIL GENERAL</w:t>
      </w:r>
    </w:p>
    <w:p w:rsidR="003126B4" w:rsidRDefault="003126B4">
      <w:pPr>
        <w:pStyle w:val="ParNorm"/>
      </w:pPr>
      <w:r>
        <w:t>vu le rapport du Conseil communal, du ....;</w:t>
      </w:r>
    </w:p>
    <w:p w:rsidR="003126B4" w:rsidRDefault="003126B4">
      <w:pPr>
        <w:pStyle w:val="ParNorm"/>
      </w:pPr>
      <w:r>
        <w:t xml:space="preserve">vu la loi sur </w:t>
      </w:r>
      <w:r w:rsidR="00D0207B">
        <w:t>la protection et la gestion des eaux</w:t>
      </w:r>
      <w:r w:rsidR="002F0EF6">
        <w:t xml:space="preserve"> (LPGE), du 2 octobre 2012</w:t>
      </w:r>
      <w:r>
        <w:t>;</w:t>
      </w:r>
    </w:p>
    <w:p w:rsidR="003126B4" w:rsidRDefault="003126B4">
      <w:pPr>
        <w:pStyle w:val="ParNorm"/>
      </w:pPr>
      <w:r>
        <w:t>vu la loi sur les communes, du 21 décembre 1964;</w:t>
      </w:r>
    </w:p>
    <w:p w:rsidR="003126B4" w:rsidRDefault="003126B4">
      <w:pPr>
        <w:pStyle w:val="ParNorm"/>
        <w:spacing w:after="0"/>
      </w:pPr>
      <w:r>
        <w:t>sur la proposition du Conseil communal,</w:t>
      </w:r>
    </w:p>
    <w:p w:rsidR="003126B4" w:rsidRDefault="003126B4">
      <w:pPr>
        <w:pStyle w:val="ParArr"/>
        <w:ind w:left="0"/>
      </w:pPr>
      <w:r>
        <w:t>arrête:</w:t>
      </w:r>
    </w:p>
    <w:p w:rsidR="003126B4" w:rsidRDefault="003126B4">
      <w:pPr>
        <w:pStyle w:val="ParNorm"/>
      </w:pPr>
      <w:r>
        <w:rPr>
          <w:b/>
        </w:rPr>
        <w:t>Article premier</w:t>
      </w:r>
      <w:r>
        <w:t>  Afin d'assurer le financement du service de l'eau</w:t>
      </w:r>
      <w:r w:rsidR="00D0207B">
        <w:t xml:space="preserve"> et le maintien de la valeur des installations, </w:t>
      </w:r>
      <w:r w:rsidR="00BB00B7">
        <w:t>le compte de l’approvisionnement en eau potable de la Commune ou du syndicat intercommunal est financé</w:t>
      </w:r>
      <w:r w:rsidR="006342C1">
        <w:t>,</w:t>
      </w:r>
      <w:r w:rsidR="00BB00B7">
        <w:t xml:space="preserve"> </w:t>
      </w:r>
      <w:r w:rsidR="00350665">
        <w:t>outre par les contributions</w:t>
      </w:r>
      <w:r w:rsidR="00521115">
        <w:t xml:space="preserve"> et taxes</w:t>
      </w:r>
      <w:r w:rsidR="00350665">
        <w:t xml:space="preserve"> d’équipement et par </w:t>
      </w:r>
      <w:r w:rsidR="00521115">
        <w:t>les subventions</w:t>
      </w:r>
      <w:r w:rsidR="00FA27AF">
        <w:t xml:space="preserve"> du canton, outre, par</w:t>
      </w:r>
      <w:r w:rsidR="00BB00B7">
        <w:t> :</w:t>
      </w:r>
    </w:p>
    <w:p w:rsidR="003126B4" w:rsidRDefault="003126B4">
      <w:pPr>
        <w:pStyle w:val="ParNorm"/>
        <w:ind w:left="426" w:hanging="426"/>
      </w:pPr>
      <w:r>
        <w:t>a)</w:t>
      </w:r>
      <w:r>
        <w:tab/>
        <w:t>une taxe de base mensuelle de ... francs par compteur</w:t>
      </w:r>
      <w:r>
        <w:rPr>
          <w:rStyle w:val="Appelnotedebasdep"/>
        </w:rPr>
        <w:footnoteReference w:customMarkFollows="1" w:id="1"/>
        <w:t>*</w:t>
      </w:r>
      <w:r>
        <w:t>;</w:t>
      </w:r>
    </w:p>
    <w:p w:rsidR="003126B4" w:rsidRDefault="003126B4" w:rsidP="00056A69">
      <w:pPr>
        <w:pStyle w:val="Pararts"/>
        <w:spacing w:after="240"/>
        <w:ind w:left="426" w:hanging="426"/>
      </w:pPr>
      <w:r>
        <w:t>b)</w:t>
      </w:r>
      <w:r>
        <w:tab/>
        <w:t>un montant de ... francs par m</w:t>
      </w:r>
      <w:r w:rsidRPr="00D25CD2">
        <w:rPr>
          <w:vertAlign w:val="superscript"/>
        </w:rPr>
        <w:t>3</w:t>
      </w:r>
      <w:r>
        <w:t xml:space="preserve"> d'eau consommé (</w:t>
      </w:r>
      <w:r>
        <w:rPr>
          <w:i/>
        </w:rPr>
        <w:t>Variante</w:t>
      </w:r>
      <w:r>
        <w:t>: un montant par m</w:t>
      </w:r>
      <w:r w:rsidRPr="00D25CD2">
        <w:rPr>
          <w:vertAlign w:val="superscript"/>
        </w:rPr>
        <w:t>3</w:t>
      </w:r>
      <w:r>
        <w:t xml:space="preserve"> d'eau consommé, fixé par arrêté du Conseil communal soumis à la sanction du Conseil d'Etat, de façon à couvrir la charge du chapitre "App</w:t>
      </w:r>
      <w:r w:rsidR="00D25CD2">
        <w:t>rovisionne</w:t>
      </w:r>
      <w:r>
        <w:t>ment en eau" d</w:t>
      </w:r>
      <w:r w:rsidR="00350665">
        <w:t>u compte de fonctionnement (F 71</w:t>
      </w:r>
      <w:r>
        <w:t>), subsistant après déduction du total des taxes perçues con</w:t>
      </w:r>
      <w:r w:rsidR="00112390">
        <w:t>formément à ce qui précède</w:t>
      </w:r>
      <w:r>
        <w:t>.</w:t>
      </w:r>
    </w:p>
    <w:p w:rsidR="003126B4" w:rsidRDefault="003126B4">
      <w:pPr>
        <w:pStyle w:val="ParNorm"/>
      </w:pPr>
      <w:r>
        <w:rPr>
          <w:b/>
        </w:rPr>
        <w:t>Art. 2   </w:t>
      </w:r>
      <w:r>
        <w:rPr>
          <w:vertAlign w:val="superscript"/>
        </w:rPr>
        <w:t>1</w:t>
      </w:r>
      <w:r>
        <w:t xml:space="preserve">Les </w:t>
      </w:r>
      <w:r w:rsidR="00521115">
        <w:t>montants dus</w:t>
      </w:r>
      <w:r w:rsidR="006E5A78">
        <w:t xml:space="preserve"> sont</w:t>
      </w:r>
      <w:r w:rsidR="00521115">
        <w:t xml:space="preserve"> perçu</w:t>
      </w:r>
      <w:r>
        <w:t>s auprès des propriétaires d'immeubles ap</w:t>
      </w:r>
      <w:r>
        <w:softHyphen/>
        <w:t>provisionnés en eau potable par la commune.</w:t>
      </w:r>
    </w:p>
    <w:p w:rsidR="003126B4" w:rsidRDefault="003126B4" w:rsidP="00056A69">
      <w:pPr>
        <w:pStyle w:val="Pararts"/>
        <w:spacing w:after="240"/>
      </w:pPr>
      <w:r>
        <w:rPr>
          <w:vertAlign w:val="superscript"/>
        </w:rPr>
        <w:t>2</w:t>
      </w:r>
      <w:r w:rsidR="00521115">
        <w:t>Il</w:t>
      </w:r>
      <w:r>
        <w:t>s peuvent,</w:t>
      </w:r>
      <w:r w:rsidR="00521115">
        <w:t xml:space="preserve"> le cas échéant, être répercuté</w:t>
      </w:r>
      <w:r>
        <w:t>s sur les locataires.</w:t>
      </w:r>
    </w:p>
    <w:p w:rsidR="00056A69" w:rsidRDefault="00056A69" w:rsidP="00056A69">
      <w:pPr>
        <w:pStyle w:val="ParNorm"/>
      </w:pPr>
      <w:r>
        <w:rPr>
          <w:b/>
        </w:rPr>
        <w:t>Art. 3  facultatif   </w:t>
      </w:r>
      <w:r>
        <w:t>Le tarif de l'eau vendue pour traiter les cultures et pour abreuver le bétail est fixé comme suit:</w:t>
      </w:r>
    </w:p>
    <w:p w:rsidR="00056A69" w:rsidRDefault="00056A69" w:rsidP="00056A69">
      <w:pPr>
        <w:pStyle w:val="ParNorm"/>
        <w:ind w:left="426" w:hanging="426"/>
      </w:pPr>
      <w:r>
        <w:t>a)</w:t>
      </w:r>
      <w:r>
        <w:tab/>
        <w:t>... francs par UGB;</w:t>
      </w:r>
    </w:p>
    <w:p w:rsidR="00056A69" w:rsidRDefault="00056A69">
      <w:pPr>
        <w:pStyle w:val="Pararts"/>
      </w:pPr>
      <w:r>
        <w:t>b)</w:t>
      </w:r>
      <w:r>
        <w:tab/>
        <w:t>... francs par hectare de culture.</w:t>
      </w:r>
    </w:p>
    <w:p w:rsidR="003126B4" w:rsidRDefault="003126B4">
      <w:pPr>
        <w:sectPr w:rsidR="003126B4">
          <w:headerReference w:type="default" r:id="rId7"/>
          <w:pgSz w:w="11907" w:h="16840" w:code="9"/>
          <w:pgMar w:top="1134" w:right="1418" w:bottom="1134" w:left="2268" w:header="567" w:footer="567" w:gutter="0"/>
          <w:paperSrc w:first="1" w:other="1"/>
          <w:cols w:space="720"/>
        </w:sectPr>
      </w:pPr>
    </w:p>
    <w:p w:rsidR="003126B4" w:rsidRDefault="003126B4">
      <w:pPr>
        <w:pStyle w:val="Pararts"/>
      </w:pPr>
      <w:r>
        <w:rPr>
          <w:b/>
        </w:rPr>
        <w:lastRenderedPageBreak/>
        <w:t>Art. 4  facultatif   </w:t>
      </w:r>
      <w:r>
        <w:t>Le Conseil communal fixe, par arrêté soumis à la sanction du Conseil d'Etat, les tarifs particuliers, notamment ceux applicables aux chantiers de construction ainsi qu'à l'eau fournie en cas de sécheresse.</w:t>
      </w:r>
    </w:p>
    <w:p w:rsidR="00521115" w:rsidRDefault="00521115" w:rsidP="00521115">
      <w:pPr>
        <w:pStyle w:val="ParNorm"/>
      </w:pPr>
      <w:r>
        <w:rPr>
          <w:b/>
        </w:rPr>
        <w:t>Art. 5   </w:t>
      </w:r>
      <w:r>
        <w:rPr>
          <w:vertAlign w:val="superscript"/>
        </w:rPr>
        <w:t>1</w:t>
      </w:r>
      <w:r>
        <w:t>Le chapitre F 71 doit être autofinancé exclusivement par les contributions instituées par le présent arrêté.</w:t>
      </w:r>
    </w:p>
    <w:p w:rsidR="00521115" w:rsidRDefault="00521115" w:rsidP="00521115">
      <w:pPr>
        <w:pStyle w:val="ParNorm"/>
      </w:pPr>
      <w:r>
        <w:rPr>
          <w:vertAlign w:val="superscript"/>
        </w:rPr>
        <w:t>2</w:t>
      </w:r>
      <w:r>
        <w:t xml:space="preserve">Les éventuels bénéfices d'exercice du chapitre sont attribués au crédit des financements spéciaux (compte </w:t>
      </w:r>
      <w:r w:rsidR="006E5A78">
        <w:t xml:space="preserve">B </w:t>
      </w:r>
      <w:r>
        <w:t>2900).</w:t>
      </w:r>
    </w:p>
    <w:p w:rsidR="00521115" w:rsidRDefault="00521115" w:rsidP="00521115">
      <w:pPr>
        <w:pStyle w:val="ParNorm"/>
      </w:pPr>
      <w:r>
        <w:rPr>
          <w:vertAlign w:val="superscript"/>
        </w:rPr>
        <w:t>3</w:t>
      </w:r>
      <w:r>
        <w:t>Les éventuels déficits d'exercice du chapitre sont prélevés au débit du</w:t>
      </w:r>
      <w:r w:rsidR="00056A69">
        <w:t xml:space="preserve"> même</w:t>
      </w:r>
      <w:r>
        <w:t xml:space="preserve"> compte </w:t>
      </w:r>
      <w:r w:rsidR="00056A69">
        <w:t>(</w:t>
      </w:r>
      <w:r>
        <w:t>B 2900</w:t>
      </w:r>
      <w:r w:rsidR="00056A69">
        <w:t>)</w:t>
      </w:r>
      <w:r>
        <w:t>.</w:t>
      </w:r>
    </w:p>
    <w:p w:rsidR="002F0EF6" w:rsidRDefault="002F0EF6" w:rsidP="002F0EF6">
      <w:pPr>
        <w:pStyle w:val="ParNorm"/>
      </w:pPr>
      <w:r>
        <w:rPr>
          <w:b/>
        </w:rPr>
        <w:t>Art. </w:t>
      </w:r>
      <w:r w:rsidR="00521115">
        <w:rPr>
          <w:b/>
        </w:rPr>
        <w:t>6</w:t>
      </w:r>
      <w:r>
        <w:rPr>
          <w:b/>
        </w:rPr>
        <w:t>   </w:t>
      </w:r>
      <w:r>
        <w:rPr>
          <w:vertAlign w:val="superscript"/>
        </w:rPr>
        <w:t>1</w:t>
      </w:r>
      <w:r w:rsidR="006306F5">
        <w:t>La c</w:t>
      </w:r>
      <w:r>
        <w:t xml:space="preserve">ommune </w:t>
      </w:r>
      <w:r w:rsidR="00056A69">
        <w:t>peut cré</w:t>
      </w:r>
      <w:r w:rsidR="002F7E06">
        <w:t>e</w:t>
      </w:r>
      <w:r w:rsidR="00056A69">
        <w:t>r</w:t>
      </w:r>
      <w:r>
        <w:t xml:space="preserve"> un fonds de l’approvisionnement en eau potable</w:t>
      </w:r>
      <w:r w:rsidR="00521115">
        <w:t xml:space="preserve"> (B</w:t>
      </w:r>
      <w:r w:rsidR="006E5A78">
        <w:t xml:space="preserve"> </w:t>
      </w:r>
      <w:r w:rsidR="00521115">
        <w:t>2910)</w:t>
      </w:r>
      <w:r>
        <w:t xml:space="preserve"> destiné à préfinancer les investissements</w:t>
      </w:r>
      <w:r w:rsidR="00521115">
        <w:t>, dès qu’elle a établi la planification de ses investissements futurs à 15 ans</w:t>
      </w:r>
      <w:r w:rsidR="002F7E06">
        <w:t xml:space="preserve"> (selon article 112 al. 4 LPGE)</w:t>
      </w:r>
      <w:bookmarkStart w:id="0" w:name="_GoBack"/>
      <w:bookmarkEnd w:id="0"/>
      <w:r>
        <w:t>.</w:t>
      </w:r>
    </w:p>
    <w:p w:rsidR="002F0EF6" w:rsidRDefault="002F0EF6" w:rsidP="002F0EF6">
      <w:pPr>
        <w:pStyle w:val="ParNorm"/>
      </w:pPr>
      <w:r w:rsidRPr="002F0EF6">
        <w:rPr>
          <w:vertAlign w:val="superscript"/>
        </w:rPr>
        <w:t>2</w:t>
      </w:r>
      <w:r>
        <w:t xml:space="preserve">Le fonds est alimenté par </w:t>
      </w:r>
      <w:r w:rsidR="00521115">
        <w:t>un prélèvement dans le comptes de financement spécial correspondant</w:t>
      </w:r>
      <w:r>
        <w:t>.</w:t>
      </w:r>
    </w:p>
    <w:p w:rsidR="003126B4" w:rsidRDefault="003126B4">
      <w:pPr>
        <w:pStyle w:val="ParNorm"/>
      </w:pPr>
      <w:r>
        <w:rPr>
          <w:b/>
        </w:rPr>
        <w:t>Art. </w:t>
      </w:r>
      <w:r w:rsidR="00521115">
        <w:rPr>
          <w:b/>
        </w:rPr>
        <w:t>7</w:t>
      </w:r>
      <w:r>
        <w:rPr>
          <w:b/>
        </w:rPr>
        <w:t>  </w:t>
      </w:r>
      <w:r>
        <w:rPr>
          <w:vertAlign w:val="superscript"/>
        </w:rPr>
        <w:t>1</w:t>
      </w:r>
      <w:r>
        <w:t>Le présent arrêté entre en vigueur le 1er janvier .....</w:t>
      </w:r>
    </w:p>
    <w:p w:rsidR="003126B4" w:rsidRDefault="003126B4">
      <w:pPr>
        <w:pStyle w:val="Pararts"/>
      </w:pPr>
      <w:r>
        <w:rPr>
          <w:vertAlign w:val="superscript"/>
        </w:rPr>
        <w:t>2</w:t>
      </w:r>
      <w:r>
        <w:t>Il abroge toutes dispositions antérieures contraires et notamment l'arrêté du .......</w:t>
      </w:r>
    </w:p>
    <w:p w:rsidR="003126B4" w:rsidRDefault="003126B4">
      <w:pPr>
        <w:pStyle w:val="ParNorm"/>
        <w:spacing w:after="480"/>
      </w:pPr>
      <w:r>
        <w:rPr>
          <w:b/>
        </w:rPr>
        <w:t>Art. </w:t>
      </w:r>
      <w:r w:rsidR="00521115">
        <w:rPr>
          <w:b/>
        </w:rPr>
        <w:t>8</w:t>
      </w:r>
      <w:r>
        <w:rPr>
          <w:b/>
        </w:rPr>
        <w:t>  </w:t>
      </w:r>
      <w:r>
        <w:t>Le Conseil communal est chargé de l'exécution du présent arrêté qui sera soumis à la sanction du Conseil d'Etat, à l'expiration du délai référendaire.</w:t>
      </w:r>
    </w:p>
    <w:p w:rsidR="003126B4" w:rsidRDefault="003126B4">
      <w:pPr>
        <w:pStyle w:val="ParNorm"/>
        <w:spacing w:after="360"/>
      </w:pPr>
      <w:r>
        <w:t>............,</w:t>
      </w:r>
      <w:r>
        <w:tab/>
        <w:t>le</w:t>
      </w:r>
    </w:p>
    <w:p w:rsidR="003126B4" w:rsidRDefault="003126B4">
      <w:pPr>
        <w:pStyle w:val="ParNorm"/>
        <w:jc w:val="right"/>
      </w:pPr>
      <w:r>
        <w:t>AU NOM DU CONSEIL GENERAL</w:t>
      </w:r>
    </w:p>
    <w:sectPr w:rsidR="003126B4" w:rsidSect="003126B4">
      <w:footerReference w:type="default" r:id="rId8"/>
      <w:pgSz w:w="11907" w:h="16840" w:code="9"/>
      <w:pgMar w:top="1701" w:right="1418" w:bottom="1134" w:left="2268" w:header="567"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B4" w:rsidRDefault="003126B4">
      <w:r>
        <w:separator/>
      </w:r>
    </w:p>
  </w:endnote>
  <w:endnote w:type="continuationSeparator" w:id="0">
    <w:p w:rsidR="003126B4" w:rsidRDefault="0031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B4" w:rsidRDefault="003126B4">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2F7E06">
      <w:rPr>
        <w:rStyle w:val="Numrodepage"/>
        <w:noProof/>
      </w:rPr>
      <w:t>2</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B4" w:rsidRDefault="003126B4">
      <w:r>
        <w:separator/>
      </w:r>
    </w:p>
  </w:footnote>
  <w:footnote w:type="continuationSeparator" w:id="0">
    <w:p w:rsidR="003126B4" w:rsidRDefault="003126B4">
      <w:r>
        <w:continuationSeparator/>
      </w:r>
    </w:p>
  </w:footnote>
  <w:footnote w:id="1">
    <w:p w:rsidR="003126B4" w:rsidRDefault="003126B4">
      <w:pPr>
        <w:pStyle w:val="Notedebasdepage"/>
        <w:jc w:val="both"/>
      </w:pPr>
      <w:r>
        <w:rPr>
          <w:rStyle w:val="Appelnotedebasdep"/>
        </w:rPr>
        <w:t>*</w:t>
      </w:r>
      <w:r>
        <w:t xml:space="preserve"> Cette taxe, qui remplace les locations de compteurs - généralement très supérieures au coût réel de location - est destinée à la couverture des charges financières (amortissements et intérêts passifs, qui doivent obligatoirement être imputés) du chapitre </w:t>
      </w:r>
      <w:r w:rsidR="006306F5">
        <w:t>« Approvisionne</w:t>
      </w:r>
      <w:r w:rsidR="006306F5">
        <w:softHyphen/>
        <w:t>ment en eau »</w:t>
      </w:r>
      <w:r>
        <w:t xml:space="preserve"> d</w:t>
      </w:r>
      <w:r w:rsidR="00275C67">
        <w:t>u compte de fonctionnement (F 71</w:t>
      </w:r>
      <w:r>
        <w:t>). Cette taxe de base est recommandée par le Guide pour la perception de taxes et de contributions, édité par la Société suisse de l'Industrie du Gaz et des Eaux (SSIGE). Selon ce guide, le produ</w:t>
      </w:r>
      <w:r w:rsidR="00275C67">
        <w:t>it total de cette taxe</w:t>
      </w:r>
      <w:r>
        <w:t xml:space="preserve"> devrait </w:t>
      </w:r>
      <w:r w:rsidR="00275C67">
        <w:t>représenter entre 50% et 80% au maximum du coût qui devrait être couvert par cette taxe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B4" w:rsidRDefault="003126B4">
    <w:pPr>
      <w:pStyle w:val="En-tte"/>
      <w:ind w:left="-1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ttachedTemplate r:id="rId1"/>
  <w:doNotTrackMoves/>
  <w:defaultTabStop w:val="454"/>
  <w:hyphenationZone w:val="57"/>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B4"/>
    <w:rsid w:val="00056A69"/>
    <w:rsid w:val="00112390"/>
    <w:rsid w:val="002501BB"/>
    <w:rsid w:val="00275C67"/>
    <w:rsid w:val="002F0EF6"/>
    <w:rsid w:val="002F6212"/>
    <w:rsid w:val="002F7E06"/>
    <w:rsid w:val="003126B4"/>
    <w:rsid w:val="00350665"/>
    <w:rsid w:val="00521115"/>
    <w:rsid w:val="005536EC"/>
    <w:rsid w:val="006306F5"/>
    <w:rsid w:val="006342C1"/>
    <w:rsid w:val="006E5A78"/>
    <w:rsid w:val="008759E7"/>
    <w:rsid w:val="00BB00B7"/>
    <w:rsid w:val="00C05F0C"/>
    <w:rsid w:val="00D0207B"/>
    <w:rsid w:val="00D25CD2"/>
    <w:rsid w:val="00FA2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cs="Times New Roman"/>
      <w:sz w:val="22"/>
      <w:lang w:val="fr-FR" w:eastAsia="fr-FR"/>
    </w:rPr>
  </w:style>
  <w:style w:type="paragraph" w:styleId="Titre2">
    <w:name w:val="heading 2"/>
    <w:basedOn w:val="Normal"/>
    <w:next w:val="Normal"/>
    <w:link w:val="Titre2Car"/>
    <w:uiPriority w:val="9"/>
    <w:qFormat/>
    <w:pPr>
      <w:keepNext/>
      <w:spacing w:before="240" w:after="60"/>
      <w:outlineLvl w:val="1"/>
    </w:pPr>
    <w:rPr>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3126B4"/>
    <w:rPr>
      <w:rFonts w:asciiTheme="majorHAnsi" w:eastAsiaTheme="majorEastAsia" w:hAnsiTheme="majorHAnsi" w:cstheme="majorBidi"/>
      <w:b/>
      <w:bCs/>
      <w:i/>
      <w:iCs/>
      <w:sz w:val="28"/>
      <w:szCs w:val="28"/>
      <w:lang w:val="fr-FR" w:eastAsia="fr-FR"/>
    </w:rPr>
  </w:style>
  <w:style w:type="paragraph" w:styleId="En-tte">
    <w:name w:val="header"/>
    <w:basedOn w:val="Normal"/>
    <w:link w:val="En-tteCar"/>
    <w:uiPriority w:val="99"/>
    <w:semiHidden/>
    <w:pPr>
      <w:tabs>
        <w:tab w:val="center" w:pos="4819"/>
        <w:tab w:val="right" w:pos="9071"/>
      </w:tabs>
    </w:pPr>
  </w:style>
  <w:style w:type="character" w:customStyle="1" w:styleId="En-tteCar">
    <w:name w:val="En-tête Car"/>
    <w:basedOn w:val="Policepardfaut"/>
    <w:link w:val="En-tte"/>
    <w:uiPriority w:val="99"/>
    <w:semiHidden/>
    <w:rsid w:val="003126B4"/>
    <w:rPr>
      <w:rFonts w:ascii="Arial" w:hAnsi="Arial" w:cs="Times New Roman"/>
      <w:sz w:val="22"/>
      <w:lang w:val="fr-FR" w:eastAsia="fr-FR"/>
    </w:rPr>
  </w:style>
  <w:style w:type="paragraph" w:customStyle="1" w:styleId="ParNorm">
    <w:name w:val="ParNorm"/>
    <w:basedOn w:val="Normal"/>
    <w:pPr>
      <w:spacing w:after="240"/>
      <w:jc w:val="both"/>
    </w:pPr>
  </w:style>
  <w:style w:type="paragraph" w:customStyle="1" w:styleId="ParArr">
    <w:name w:val="ParArr"/>
    <w:basedOn w:val="Normal"/>
    <w:pPr>
      <w:spacing w:before="240" w:after="480"/>
      <w:ind w:left="2268"/>
    </w:pPr>
  </w:style>
  <w:style w:type="paragraph" w:customStyle="1" w:styleId="Date1">
    <w:name w:val="Date1"/>
    <w:basedOn w:val="Normal"/>
    <w:pPr>
      <w:spacing w:before="240" w:after="480"/>
      <w:ind w:left="2268"/>
    </w:pPr>
  </w:style>
  <w:style w:type="paragraph" w:customStyle="1" w:styleId="sicepc">
    <w:name w:val="sicepc"/>
    <w:basedOn w:val="Normal"/>
    <w:pPr>
      <w:tabs>
        <w:tab w:val="left" w:pos="7938"/>
      </w:tabs>
      <w:spacing w:after="240"/>
      <w:ind w:left="5245"/>
    </w:pPr>
  </w:style>
  <w:style w:type="paragraph" w:customStyle="1" w:styleId="ParArt">
    <w:name w:val="ParArt"/>
    <w:basedOn w:val="ParNorm"/>
    <w:pPr>
      <w:spacing w:after="480"/>
    </w:pPr>
  </w:style>
  <w:style w:type="paragraph" w:customStyle="1" w:styleId="cepc">
    <w:name w:val="cepc"/>
    <w:basedOn w:val="sicepc"/>
  </w:style>
  <w:style w:type="paragraph" w:customStyle="1" w:styleId="sicepopc">
    <w:name w:val="sicepopc"/>
    <w:basedOn w:val="Normal"/>
    <w:pPr>
      <w:tabs>
        <w:tab w:val="left" w:pos="7939"/>
      </w:tabs>
      <w:spacing w:after="240"/>
      <w:ind w:left="5245"/>
    </w:pPr>
  </w:style>
  <w:style w:type="paragraph" w:customStyle="1" w:styleId="sicevpc">
    <w:name w:val="sicevpc"/>
    <w:basedOn w:val="Normal"/>
    <w:pPr>
      <w:tabs>
        <w:tab w:val="left" w:pos="7938"/>
      </w:tabs>
      <w:spacing w:after="240"/>
      <w:ind w:left="5103"/>
    </w:pPr>
  </w:style>
  <w:style w:type="paragraph" w:customStyle="1" w:styleId="siceppoc">
    <w:name w:val="siceppoc"/>
    <w:basedOn w:val="Normal"/>
    <w:pPr>
      <w:tabs>
        <w:tab w:val="left" w:pos="7230"/>
      </w:tabs>
      <w:spacing w:after="240"/>
      <w:ind w:left="5103"/>
    </w:pPr>
  </w:style>
  <w:style w:type="paragraph" w:customStyle="1" w:styleId="sicepppc">
    <w:name w:val="sicepppc"/>
    <w:basedOn w:val="Normal"/>
    <w:pPr>
      <w:spacing w:after="240" w:line="240" w:lineRule="atLeast"/>
      <w:ind w:left="4678"/>
    </w:pPr>
  </w:style>
  <w:style w:type="paragraph" w:customStyle="1" w:styleId="sicevppc">
    <w:name w:val="sicevppc"/>
    <w:basedOn w:val="Normal"/>
    <w:pPr>
      <w:tabs>
        <w:tab w:val="left" w:pos="7230"/>
      </w:tabs>
      <w:spacing w:after="240"/>
      <w:ind w:left="4678"/>
    </w:pPr>
  </w:style>
  <w:style w:type="paragraph" w:customStyle="1" w:styleId="Pararts">
    <w:name w:val="Pararts"/>
    <w:basedOn w:val="ParNorm"/>
    <w:pPr>
      <w:spacing w:after="480"/>
    </w:p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3126B4"/>
    <w:rPr>
      <w:rFonts w:ascii="Arial" w:hAnsi="Arial" w:cs="Times New Roman"/>
      <w:sz w:val="22"/>
      <w:lang w:val="fr-FR" w:eastAsia="fr-FR"/>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rsid w:val="003126B4"/>
    <w:rPr>
      <w:rFonts w:ascii="Arial" w:hAnsi="Arial" w:cs="Times New Roman"/>
      <w:lang w:val="fr-FR" w:eastAsia="fr-FR"/>
    </w:rPr>
  </w:style>
  <w:style w:type="character" w:styleId="Appelnotedebasdep">
    <w:name w:val="footnote reference"/>
    <w:basedOn w:val="Policepardfaut"/>
    <w:uiPriority w:val="99"/>
    <w:semiHidden/>
    <w:rPr>
      <w:rFonts w:cs="Times New Roman"/>
      <w:vertAlign w:val="superscript"/>
    </w:rPr>
  </w:style>
  <w:style w:type="character" w:styleId="Numrodepage">
    <w:name w:val="page number"/>
    <w:basedOn w:val="Policepardfaut"/>
    <w:uiPriority w:val="99"/>
    <w:semiHidden/>
    <w:rPr>
      <w:rFonts w:cs="Times New Roman"/>
    </w:rPr>
  </w:style>
  <w:style w:type="paragraph" w:styleId="Textedebulles">
    <w:name w:val="Balloon Text"/>
    <w:basedOn w:val="Normal"/>
    <w:link w:val="TextedebullesCar"/>
    <w:uiPriority w:val="99"/>
    <w:semiHidden/>
    <w:unhideWhenUsed/>
    <w:rsid w:val="002F0EF6"/>
    <w:rPr>
      <w:rFonts w:ascii="Tahoma" w:hAnsi="Tahoma" w:cs="Tahoma"/>
      <w:sz w:val="16"/>
      <w:szCs w:val="16"/>
    </w:rPr>
  </w:style>
  <w:style w:type="character" w:customStyle="1" w:styleId="TextedebullesCar">
    <w:name w:val="Texte de bulles Car"/>
    <w:basedOn w:val="Policepardfaut"/>
    <w:link w:val="Textedebulles"/>
    <w:uiPriority w:val="99"/>
    <w:semiHidden/>
    <w:rsid w:val="002F0EF6"/>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FORMA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8393956F-55E4-4E97-B55A-721800FF3360}"/>
</file>

<file path=customXml/itemProps2.xml><?xml version="1.0" encoding="utf-8"?>
<ds:datastoreItem xmlns:ds="http://schemas.openxmlformats.org/officeDocument/2006/customXml" ds:itemID="{2C7DEB5B-2E3D-4429-863C-A53C27E8CFD7}"/>
</file>

<file path=customXml/itemProps3.xml><?xml version="1.0" encoding="utf-8"?>
<ds:datastoreItem xmlns:ds="http://schemas.openxmlformats.org/officeDocument/2006/customXml" ds:itemID="{04A04C5A-D8A0-4F7B-B602-CB68E8D119F0}"/>
</file>

<file path=docProps/app.xml><?xml version="1.0" encoding="utf-8"?>
<Properties xmlns="http://schemas.openxmlformats.org/officeDocument/2006/extended-properties" xmlns:vt="http://schemas.openxmlformats.org/officeDocument/2006/docPropsVTypes">
  <Template>FORMATAR.DOT</Template>
  <TotalTime>581</TotalTime>
  <Pages>2</Pages>
  <Words>408</Words>
  <Characters>2247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Taxe hospitalière</vt:lpstr>
    </vt:vector>
  </TitlesOfParts>
  <Company>Etat de Neuchâtel</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 Marie-Madeleine</dc:creator>
  <cp:keywords/>
  <dc:description/>
  <cp:lastModifiedBy>Gattolliat Sylvie</cp:lastModifiedBy>
  <cp:revision>11</cp:revision>
  <cp:lastPrinted>2017-07-04T09:51:00Z</cp:lastPrinted>
  <dcterms:created xsi:type="dcterms:W3CDTF">2004-02-16T12:23:00Z</dcterms:created>
  <dcterms:modified xsi:type="dcterms:W3CDTF">2017-07-04T13:27:00Z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Acronyme">
    <vt:lpwstr>121;#SCOM|beaa4e20-5140-4353-9959-2d59772728cb</vt:lpwstr>
  </property>
  <property fmtid="{D5CDD505-2E9C-101B-9397-08002B2CF9AE}" pid="5" name="Theme">
    <vt:lpwstr/>
  </property>
  <property fmtid="{D5CDD505-2E9C-101B-9397-08002B2CF9AE}" pid="6" name="Departement">
    <vt:lpwstr/>
  </property>
  <property fmtid="{D5CDD505-2E9C-101B-9397-08002B2CF9AE}" pid="7" name="Type du document">
    <vt:lpwstr/>
  </property>
</Properties>
</file>