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2" w:rsidRDefault="009E2992">
      <w:pPr>
        <w:pBdr>
          <w:top w:val="double" w:sz="12" w:space="10" w:color="auto"/>
          <w:left w:val="double" w:sz="12" w:space="10" w:color="auto"/>
          <w:bottom w:val="double" w:sz="12" w:space="10" w:color="auto"/>
          <w:right w:val="double" w:sz="12" w:space="10" w:color="auto"/>
        </w:pBdr>
        <w:tabs>
          <w:tab w:val="left" w:pos="9633"/>
        </w:tabs>
        <w:spacing w:before="120" w:after="120"/>
        <w:ind w:left="2127" w:right="2125"/>
        <w:jc w:val="center"/>
        <w:rPr>
          <w:b/>
          <w:i/>
          <w:sz w:val="32"/>
        </w:rPr>
      </w:pPr>
      <w:r>
        <w:rPr>
          <w:b/>
          <w:i/>
          <w:sz w:val="32"/>
        </w:rPr>
        <w:t>REGLEMENT TYPE DE FOIRE</w:t>
      </w:r>
    </w:p>
    <w:p w:rsidR="009E2992" w:rsidRDefault="009E2992">
      <w:pPr>
        <w:spacing w:before="5000" w:after="2600"/>
        <w:jc w:val="center"/>
        <w:rPr>
          <w:b/>
          <w:i/>
          <w:sz w:val="24"/>
        </w:rPr>
      </w:pPr>
      <w:r>
        <w:rPr>
          <w:b/>
          <w:i/>
          <w:sz w:val="24"/>
        </w:rPr>
        <w:t>élaboré par le</w:t>
      </w:r>
    </w:p>
    <w:p w:rsidR="009E2992" w:rsidRPr="00B23B71" w:rsidRDefault="009E2992">
      <w:pPr>
        <w:spacing w:after="2600"/>
        <w:jc w:val="center"/>
        <w:rPr>
          <w:b/>
          <w:sz w:val="26"/>
        </w:rPr>
      </w:pPr>
      <w:r w:rsidRPr="00B23B71">
        <w:rPr>
          <w:b/>
          <w:sz w:val="26"/>
        </w:rPr>
        <w:t>SERVICE DES COMMUNES</w:t>
      </w:r>
    </w:p>
    <w:p w:rsidR="009E2992" w:rsidRDefault="009E2992">
      <w:pPr>
        <w:spacing w:after="800"/>
        <w:jc w:val="center"/>
        <w:rPr>
          <w:b/>
          <w:i/>
          <w:sz w:val="24"/>
        </w:rPr>
      </w:pPr>
    </w:p>
    <w:p w:rsidR="009E2992" w:rsidRDefault="009E2992">
      <w:pPr>
        <w:spacing w:after="840"/>
        <w:jc w:val="left"/>
        <w:rPr>
          <w:b/>
          <w:sz w:val="28"/>
        </w:rPr>
        <w:sectPr w:rsidR="009E29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851" w:footer="720" w:gutter="0"/>
          <w:paperSrc w:first="2" w:other="2"/>
          <w:cols w:space="720"/>
        </w:sectPr>
      </w:pPr>
    </w:p>
    <w:p w:rsidR="009E2992" w:rsidRDefault="009E2992">
      <w:pPr>
        <w:spacing w:after="840"/>
        <w:jc w:val="center"/>
        <w:rPr>
          <w:sz w:val="28"/>
        </w:rPr>
      </w:pPr>
      <w:r>
        <w:rPr>
          <w:b/>
          <w:sz w:val="28"/>
        </w:rPr>
        <w:lastRenderedPageBreak/>
        <w:t>Commune de ..........</w:t>
      </w:r>
    </w:p>
    <w:p w:rsidR="009E2992" w:rsidRDefault="009E2992">
      <w:pPr>
        <w:spacing w:after="1080"/>
        <w:jc w:val="center"/>
        <w:rPr>
          <w:sz w:val="28"/>
        </w:rPr>
      </w:pPr>
      <w:r>
        <w:rPr>
          <w:b/>
          <w:sz w:val="28"/>
        </w:rPr>
        <w:t>REGLEMENT TYPE DE FOIRE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13"/>
      </w:tblGrid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Inscriptions</w:t>
            </w: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rPr>
                <w:b/>
              </w:rPr>
              <w:t>Article premier   </w:t>
            </w:r>
            <w:r>
              <w:t>Les inscriptions, adressées au responsable de la foire, doivent parvenir à l'administration communale au plus tard deux mois avant la manifestation.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t>La commune confirme à chaque marchand, un mois avant la foire, l'endroit et le numéro de la place attribuée.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480"/>
            </w:pPr>
            <w:r>
              <w:t>Le marchand qui se présente le jour de la foire, sans place attribuée, ne peut prétendre à une place.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Ordre de</w:t>
            </w:r>
          </w:p>
          <w:p w:rsidR="009E2992" w:rsidRDefault="009E2992">
            <w:pPr>
              <w:jc w:val="left"/>
            </w:pPr>
            <w:r>
              <w:t>réservation</w:t>
            </w: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rPr>
                <w:b/>
              </w:rPr>
              <w:t>Art. 2   </w:t>
            </w:r>
            <w:r>
              <w:t>Les anciens marchands et sociétés sont prioritaires.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t>Suivent dans l'ordre: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numPr>
                <w:ilvl w:val="0"/>
                <w:numId w:val="1"/>
              </w:numPr>
            </w:pPr>
            <w:r>
              <w:t>les sociétés et marchands du village,</w:t>
            </w:r>
          </w:p>
          <w:p w:rsidR="009E2992" w:rsidRDefault="009E2992">
            <w:pPr>
              <w:numPr>
                <w:ilvl w:val="0"/>
                <w:numId w:val="1"/>
              </w:numPr>
            </w:pPr>
            <w:r>
              <w:t>de la région,</w:t>
            </w:r>
          </w:p>
          <w:p w:rsidR="009E2992" w:rsidRDefault="009E2992">
            <w:pPr>
              <w:numPr>
                <w:ilvl w:val="0"/>
                <w:numId w:val="1"/>
              </w:numPr>
            </w:pPr>
            <w:r>
              <w:t>du canton de Neuchâtel,</w:t>
            </w:r>
          </w:p>
          <w:p w:rsidR="009E2992" w:rsidRDefault="009E2992">
            <w:pPr>
              <w:numPr>
                <w:ilvl w:val="0"/>
                <w:numId w:val="1"/>
              </w:numPr>
            </w:pPr>
            <w:r>
              <w:t>de Suisse romande,</w:t>
            </w:r>
          </w:p>
          <w:p w:rsidR="009E2992" w:rsidRDefault="009E2992">
            <w:pPr>
              <w:numPr>
                <w:ilvl w:val="0"/>
                <w:numId w:val="1"/>
              </w:numPr>
              <w:ind w:left="284" w:hanging="284"/>
            </w:pPr>
            <w:r>
              <w:t>les marchands d’ailleurs, pour autant qu'il y ait encore de la place,</w:t>
            </w:r>
          </w:p>
          <w:p w:rsidR="009E2992" w:rsidRDefault="009E2992">
            <w:pPr>
              <w:numPr>
                <w:ilvl w:val="0"/>
                <w:numId w:val="1"/>
              </w:numPr>
              <w:spacing w:after="480"/>
              <w:ind w:left="284" w:hanging="284"/>
            </w:pPr>
            <w:r>
              <w:t>les marchands qui se sont vu refuser une demande déposée une année précédente, faute de place.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Lieu et date</w:t>
            </w: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rPr>
                <w:b/>
              </w:rPr>
              <w:t>Art. 3   </w:t>
            </w:r>
            <w:r>
              <w:t xml:space="preserve">La foire de .......... </w:t>
            </w:r>
            <w:proofErr w:type="gramStart"/>
            <w:r>
              <w:t>a</w:t>
            </w:r>
            <w:proofErr w:type="gramEnd"/>
            <w:r>
              <w:t xml:space="preserve"> lieu dans le périmètre suivant: ..........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480"/>
            </w:pPr>
            <w:r>
              <w:t xml:space="preserve">Elle est </w:t>
            </w:r>
            <w:proofErr w:type="gramStart"/>
            <w:r>
              <w:t>organisée ..</w:t>
            </w:r>
            <w:proofErr w:type="gramEnd"/>
            <w:r>
              <w:t xml:space="preserve"> fois par année, le ..........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Durée</w:t>
            </w: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rPr>
                <w:b/>
              </w:rPr>
              <w:t>Art. 4   </w:t>
            </w:r>
            <w:r>
              <w:t>La foire est ouverte de .... à .... heures.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t>Les places sont prises au plus tard à 8 heures; passé ce délai, le responsable dispose des places vacantes.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t>Dès 19 heures, tout marchand ou société qui n'aurait pas libéré sa place est responsable de son nettoyage.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r>
              <w:t xml:space="preserve">Le cas échéant, les frais de nettoyage sont facturés aux </w:t>
            </w:r>
            <w:proofErr w:type="spellStart"/>
            <w:r>
              <w:t>retardatai</w:t>
            </w:r>
            <w:r>
              <w:softHyphen/>
              <w:t>res</w:t>
            </w:r>
            <w:proofErr w:type="spellEnd"/>
            <w:r>
              <w:t>.</w:t>
            </w:r>
          </w:p>
        </w:tc>
      </w:tr>
    </w:tbl>
    <w:p w:rsidR="009E2992" w:rsidRDefault="009E2992">
      <w:pPr>
        <w:jc w:val="left"/>
        <w:sectPr w:rsidR="009E2992">
          <w:headerReference w:type="default" r:id="rId13"/>
          <w:footerReference w:type="default" r:id="rId14"/>
          <w:pgSz w:w="11907" w:h="16840" w:code="9"/>
          <w:pgMar w:top="1418" w:right="1418" w:bottom="1418" w:left="1418" w:header="851" w:footer="720" w:gutter="0"/>
          <w:paperSrc w:first="2" w:other="2"/>
          <w:cols w:space="72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13"/>
      </w:tblGrid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lastRenderedPageBreak/>
              <w:t>Redevances</w:t>
            </w:r>
          </w:p>
        </w:tc>
        <w:tc>
          <w:tcPr>
            <w:tcW w:w="7013" w:type="dxa"/>
          </w:tcPr>
          <w:p w:rsidR="009E2992" w:rsidRDefault="009E2992">
            <w:pPr>
              <w:spacing w:after="480"/>
            </w:pPr>
            <w:r>
              <w:rPr>
                <w:b/>
              </w:rPr>
              <w:t>Art. 5   </w:t>
            </w:r>
            <w:r>
              <w:t>Dans le périmètre de la foire, aucune redevance communale n'est perçue pour des activités relevant du commerce ambulant ou temporaire (déballage, colportage, etc.).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Taxe d'utilisation</w:t>
            </w: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rPr>
                <w:b/>
              </w:rPr>
              <w:t>Art. 6   </w:t>
            </w:r>
            <w:r>
              <w:t xml:space="preserve">Il est perçu une taxe d'utilisation </w:t>
            </w:r>
            <w:proofErr w:type="gramStart"/>
            <w:r>
              <w:t>de ..</w:t>
            </w:r>
            <w:proofErr w:type="gramEnd"/>
            <w:r>
              <w:t xml:space="preserve"> francs par mètre </w:t>
            </w:r>
            <w:proofErr w:type="spellStart"/>
            <w:r>
              <w:t>li</w:t>
            </w:r>
            <w:r>
              <w:softHyphen/>
              <w:t>néaire</w:t>
            </w:r>
            <w:proofErr w:type="spellEnd"/>
            <w:r>
              <w:t xml:space="preserve">; la taxe est d'au </w:t>
            </w:r>
            <w:proofErr w:type="gramStart"/>
            <w:r>
              <w:t>minimum ..</w:t>
            </w:r>
            <w:proofErr w:type="gramEnd"/>
            <w:r>
              <w:t xml:space="preserve"> francs.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t xml:space="preserve">Les bancs de la commune sont loués au prix </w:t>
            </w:r>
            <w:proofErr w:type="gramStart"/>
            <w:r>
              <w:t>de ..</w:t>
            </w:r>
            <w:proofErr w:type="gramEnd"/>
            <w:r>
              <w:t xml:space="preserve"> francs.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480"/>
            </w:pPr>
            <w:r>
              <w:t xml:space="preserve">En cas de besoin, le Conseil communal peut augmenter ces </w:t>
            </w:r>
            <w:proofErr w:type="spellStart"/>
            <w:r>
              <w:t>mon</w:t>
            </w:r>
            <w:r>
              <w:softHyphen/>
              <w:t>tants</w:t>
            </w:r>
            <w:proofErr w:type="spellEnd"/>
            <w:r>
              <w:t xml:space="preserve"> de 20% au maximum, par arrêté soumis à la sanction du </w:t>
            </w:r>
            <w:proofErr w:type="spellStart"/>
            <w:r>
              <w:t>Con</w:t>
            </w:r>
            <w:r>
              <w:softHyphen/>
              <w:t>seil</w:t>
            </w:r>
            <w:proofErr w:type="spellEnd"/>
            <w:r>
              <w:t xml:space="preserve"> d'Etat.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Bancs</w:t>
            </w:r>
          </w:p>
        </w:tc>
        <w:tc>
          <w:tcPr>
            <w:tcW w:w="7013" w:type="dxa"/>
          </w:tcPr>
          <w:p w:rsidR="009E2992" w:rsidRDefault="009E2992">
            <w:pPr>
              <w:spacing w:after="480"/>
            </w:pPr>
            <w:r>
              <w:rPr>
                <w:b/>
              </w:rPr>
              <w:t>Art. 7   </w:t>
            </w:r>
            <w:r>
              <w:t xml:space="preserve">La longueur des bancs ne peut en aucun cas </w:t>
            </w:r>
            <w:proofErr w:type="gramStart"/>
            <w:r>
              <w:t>excéder ..</w:t>
            </w:r>
            <w:proofErr w:type="gramEnd"/>
            <w:r>
              <w:t xml:space="preserve"> </w:t>
            </w:r>
            <w:proofErr w:type="spellStart"/>
            <w:r>
              <w:t>mè</w:t>
            </w:r>
            <w:r>
              <w:softHyphen/>
              <w:t>tres</w:t>
            </w:r>
            <w:proofErr w:type="spellEnd"/>
            <w:r>
              <w:t>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Interdiction d'accès</w:t>
            </w:r>
          </w:p>
        </w:tc>
        <w:tc>
          <w:tcPr>
            <w:tcW w:w="7013" w:type="dxa"/>
          </w:tcPr>
          <w:p w:rsidR="009E2992" w:rsidRDefault="009E2992">
            <w:pPr>
              <w:spacing w:after="480"/>
            </w:pPr>
            <w:r>
              <w:rPr>
                <w:b/>
              </w:rPr>
              <w:t>Art. 8   </w:t>
            </w:r>
            <w:r>
              <w:t>L'accès à la foire peut être interdit à un marchand qui ne se conformerait pas au présent règlement.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Chiens</w:t>
            </w:r>
          </w:p>
        </w:tc>
        <w:tc>
          <w:tcPr>
            <w:tcW w:w="7013" w:type="dxa"/>
          </w:tcPr>
          <w:p w:rsidR="009E2992" w:rsidRDefault="009E2992">
            <w:pPr>
              <w:spacing w:after="480"/>
            </w:pPr>
            <w:r>
              <w:rPr>
                <w:b/>
              </w:rPr>
              <w:t>Art. 9   </w:t>
            </w:r>
            <w:r>
              <w:t>Dans le périmètre de la foire, les chiens doivent être tenus en laisse.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Entrée en vigueur</w:t>
            </w:r>
          </w:p>
        </w:tc>
        <w:tc>
          <w:tcPr>
            <w:tcW w:w="7013" w:type="dxa"/>
          </w:tcPr>
          <w:p w:rsidR="009E2992" w:rsidRDefault="009E2992">
            <w:pPr>
              <w:spacing w:after="240"/>
            </w:pPr>
            <w:r>
              <w:rPr>
                <w:b/>
              </w:rPr>
              <w:t>Art. 10   </w:t>
            </w:r>
            <w:r>
              <w:t>Le présent règlement entre immédiatement en vigueur.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</w:p>
        </w:tc>
        <w:tc>
          <w:tcPr>
            <w:tcW w:w="7013" w:type="dxa"/>
          </w:tcPr>
          <w:p w:rsidR="009E2992" w:rsidRDefault="009E2992">
            <w:pPr>
              <w:spacing w:after="840"/>
            </w:pPr>
            <w:r>
              <w:t>Il sera soumis à la sanction du Conseil d'</w:t>
            </w:r>
            <w:proofErr w:type="spellStart"/>
            <w:r>
              <w:t>Etat</w:t>
            </w:r>
            <w:proofErr w:type="spellEnd"/>
            <w:r>
              <w:t xml:space="preserve"> à l'expiration du délai référendaire.</w:t>
            </w:r>
          </w:p>
        </w:tc>
      </w:tr>
      <w:tr w:rsidR="009E2992">
        <w:tc>
          <w:tcPr>
            <w:tcW w:w="2197" w:type="dxa"/>
          </w:tcPr>
          <w:p w:rsidR="009E2992" w:rsidRDefault="009E2992">
            <w:pPr>
              <w:jc w:val="left"/>
            </w:pPr>
            <w:r>
              <w:t>.........., le</w:t>
            </w:r>
          </w:p>
        </w:tc>
        <w:tc>
          <w:tcPr>
            <w:tcW w:w="7013" w:type="dxa"/>
          </w:tcPr>
          <w:p w:rsidR="009E2992" w:rsidRDefault="009E2992">
            <w:pPr>
              <w:spacing w:after="240"/>
              <w:ind w:left="3473"/>
              <w:jc w:val="left"/>
            </w:pPr>
            <w:r>
              <w:t>Au nom du Conseil général</w:t>
            </w:r>
          </w:p>
          <w:p w:rsidR="009E2992" w:rsidRDefault="009E2992">
            <w:pPr>
              <w:tabs>
                <w:tab w:val="left" w:pos="5458"/>
              </w:tabs>
              <w:ind w:left="3473"/>
              <w:jc w:val="left"/>
            </w:pPr>
            <w:r>
              <w:t>Le président:</w:t>
            </w:r>
            <w:r>
              <w:tab/>
              <w:t>Le secrétaire:</w:t>
            </w:r>
          </w:p>
        </w:tc>
      </w:tr>
    </w:tbl>
    <w:p w:rsidR="009E2992" w:rsidRDefault="009E2992"/>
    <w:sectPr w:rsidR="009E2992" w:rsidSect="009E2992">
      <w:headerReference w:type="default" r:id="rId15"/>
      <w:footerReference w:type="default" r:id="rId16"/>
      <w:pgSz w:w="11907" w:h="16840" w:code="9"/>
      <w:pgMar w:top="2268" w:right="1418" w:bottom="1418" w:left="1418" w:header="851" w:footer="720" w:gutter="0"/>
      <w:paperSrc w:first="2" w:other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92" w:rsidRDefault="009E2992">
      <w:r>
        <w:separator/>
      </w:r>
    </w:p>
  </w:endnote>
  <w:endnote w:type="continuationSeparator" w:id="0">
    <w:p w:rsidR="009E2992" w:rsidRDefault="009E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92" w:rsidRDefault="003E6E9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2" w:rsidRPr="003E6E92" w:rsidRDefault="009E2992" w:rsidP="003E6E9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92" w:rsidRDefault="003E6E92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2" w:rsidRDefault="009E2992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2" w:rsidRDefault="009E29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92" w:rsidRDefault="009E2992">
      <w:r>
        <w:separator/>
      </w:r>
    </w:p>
  </w:footnote>
  <w:footnote w:type="continuationSeparator" w:id="0">
    <w:p w:rsidR="009E2992" w:rsidRDefault="009E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92" w:rsidRDefault="003E6E9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92" w:rsidRDefault="003E6E9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92" w:rsidRDefault="003E6E92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2" w:rsidRDefault="009E2992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992" w:rsidRDefault="009E2992">
    <w:pPr>
      <w:pStyle w:val="En-tte"/>
      <w:jc w:val="center"/>
    </w:pPr>
    <w:r>
      <w:t xml:space="preserve">- </w:t>
    </w:r>
    <w:fldSimple w:instr="PAGE">
      <w:r w:rsidR="00B23B71">
        <w:rPr>
          <w:noProof/>
        </w:rPr>
        <w:t>3</w:t>
      </w:r>
    </w:fldSimple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04964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intFractionalCharacterWidth/>
  <w:proofState w:spelling="clean" w:grammar="clean"/>
  <w:doNotTrackMoves/>
  <w:defaultTabStop w:val="708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992"/>
    <w:rsid w:val="003E6E92"/>
    <w:rsid w:val="009E2992"/>
    <w:rsid w:val="00A05DEF"/>
    <w:rsid w:val="00B23B71"/>
    <w:rsid w:val="00D4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E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rsid w:val="00A05DEF"/>
    <w:pPr>
      <w:framePr w:w="7938" w:h="1985" w:hRule="exact" w:hSpace="141" w:wrap="auto" w:hAnchor="page" w:xAlign="center" w:yAlign="bottom"/>
      <w:ind w:left="2835"/>
    </w:pPr>
  </w:style>
  <w:style w:type="paragraph" w:styleId="En-tte">
    <w:name w:val="header"/>
    <w:basedOn w:val="Normal"/>
    <w:link w:val="En-tteCar"/>
    <w:uiPriority w:val="99"/>
    <w:semiHidden/>
    <w:rsid w:val="00A05D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E2992"/>
    <w:rPr>
      <w:rFonts w:ascii="Arial" w:hAnsi="Arial"/>
      <w:sz w:val="22"/>
      <w:lang w:val="fr-FR" w:eastAsia="fr-FR"/>
    </w:rPr>
  </w:style>
  <w:style w:type="paragraph" w:styleId="Adresseexpditeur">
    <w:name w:val="envelope return"/>
    <w:basedOn w:val="Normal"/>
    <w:uiPriority w:val="99"/>
    <w:semiHidden/>
    <w:rsid w:val="00A05DEF"/>
    <w:rPr>
      <w:sz w:val="20"/>
    </w:rPr>
  </w:style>
  <w:style w:type="paragraph" w:styleId="Pieddepage">
    <w:name w:val="footer"/>
    <w:basedOn w:val="Normal"/>
    <w:link w:val="PieddepageCar"/>
    <w:uiPriority w:val="99"/>
    <w:semiHidden/>
    <w:rsid w:val="00A05D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2992"/>
    <w:rPr>
      <w:rFonts w:ascii="Arial" w:hAnsi="Arial"/>
      <w:sz w:val="22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122</Value>
      <Value>121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FA161112-82F5-46D9-B5F5-CAD1A1DE5949}"/>
</file>

<file path=customXml/itemProps2.xml><?xml version="1.0" encoding="utf-8"?>
<ds:datastoreItem xmlns:ds="http://schemas.openxmlformats.org/officeDocument/2006/customXml" ds:itemID="{424BF1AC-C0D5-4272-AD94-1387E83C4315}"/>
</file>

<file path=customXml/itemProps3.xml><?xml version="1.0" encoding="utf-8"?>
<ds:datastoreItem xmlns:ds="http://schemas.openxmlformats.org/officeDocument/2006/customXml" ds:itemID="{21C5CA2E-51E3-4BF4-BC29-843A3E74A4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404</Words>
  <Characters>2031</Characters>
  <Application>Microsoft Office Word</Application>
  <DocSecurity>0</DocSecurity>
  <Lines>16</Lines>
  <Paragraphs>4</Paragraphs>
  <ScaleCrop>false</ScaleCrop>
  <Company>Etat de Neuchâtel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type de foire</dc:title>
  <dc:subject/>
  <dc:creator>Schenkel Marie-Madeleine</dc:creator>
  <cp:keywords/>
  <dc:description/>
  <cp:lastModifiedBy>LicodiaS</cp:lastModifiedBy>
  <cp:revision>5</cp:revision>
  <cp:lastPrinted>1997-04-15T15:05:00Z</cp:lastPrinted>
  <dcterms:created xsi:type="dcterms:W3CDTF">2004-02-16T14:25:00Z</dcterms:created>
  <dcterms:modified xsi:type="dcterms:W3CDTF">2013-05-23T09:31:00Z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121;#SCOM|beaa4e20-5140-4353-9959-2d59772728cb</vt:lpwstr>
  </property>
</Properties>
</file>