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harts/colors2.xml" ContentType="application/vnd.ms-office.chartcolorstyle+xml"/>
  <Override PartName="/word/charts/style2.xml" ContentType="application/vnd.ms-office.chartstyle+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C1" w:rsidRDefault="00776716" w:rsidP="00496948">
      <w:r w:rsidRPr="00776716">
        <w:drawing>
          <wp:inline distT="0" distB="0" distL="0" distR="0" wp14:anchorId="229F6EFB" wp14:editId="765EAD0F">
            <wp:extent cx="8972550" cy="485775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76716" w:rsidRDefault="00776716" w:rsidP="00496948"/>
    <w:p w:rsidR="00776716" w:rsidRDefault="00776716" w:rsidP="00496948"/>
    <w:p w:rsidR="00776716" w:rsidRDefault="00776716" w:rsidP="00496948"/>
    <w:p w:rsidR="00776716" w:rsidRDefault="00776716" w:rsidP="00496948"/>
    <w:p w:rsidR="00776716" w:rsidRDefault="00776716" w:rsidP="00496948"/>
    <w:p w:rsidR="00776716" w:rsidRDefault="00776716" w:rsidP="00496948"/>
    <w:p w:rsidR="00776716" w:rsidRPr="00DC3621" w:rsidRDefault="00776716" w:rsidP="00496948">
      <w:r>
        <w:rPr>
          <w:noProof/>
          <w:lang w:eastAsia="fr-CH" w:bidi="ar-SA"/>
        </w:rPr>
        <w:lastRenderedPageBreak/>
        <w:drawing>
          <wp:inline distT="0" distB="0" distL="0" distR="0" wp14:anchorId="06C7663A" wp14:editId="69B2154B">
            <wp:extent cx="8717280" cy="4605339"/>
            <wp:effectExtent l="0" t="0" r="7620" b="508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Start w:id="0" w:name="_GoBack"/>
      <w:bookmarkEnd w:id="0"/>
    </w:p>
    <w:sectPr w:rsidR="00776716" w:rsidRPr="00DC3621" w:rsidSect="007767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16"/>
    <w:rsid w:val="00075931"/>
    <w:rsid w:val="00211BA9"/>
    <w:rsid w:val="002B5350"/>
    <w:rsid w:val="002C6190"/>
    <w:rsid w:val="00353FCB"/>
    <w:rsid w:val="00403687"/>
    <w:rsid w:val="00466227"/>
    <w:rsid w:val="00496948"/>
    <w:rsid w:val="00524D6E"/>
    <w:rsid w:val="0056477B"/>
    <w:rsid w:val="00603E9B"/>
    <w:rsid w:val="006563E5"/>
    <w:rsid w:val="006C4652"/>
    <w:rsid w:val="00776716"/>
    <w:rsid w:val="007A52CF"/>
    <w:rsid w:val="008D6E54"/>
    <w:rsid w:val="009230C1"/>
    <w:rsid w:val="00C62821"/>
    <w:rsid w:val="00DC3621"/>
    <w:rsid w:val="00EC6BAA"/>
    <w:rsid w:val="00FA4A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CE8F"/>
  <w15:chartTrackingRefBased/>
  <w15:docId w15:val="{D4C712C8-5240-4578-8359-6DECCC74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A9"/>
    <w:pPr>
      <w:spacing w:after="0" w:line="240" w:lineRule="auto"/>
    </w:pPr>
    <w:rPr>
      <w:sz w:val="20"/>
      <w:szCs w:val="24"/>
      <w:lang w:val="fr-CH"/>
    </w:rPr>
  </w:style>
  <w:style w:type="paragraph" w:styleId="Titre1">
    <w:name w:val="heading 1"/>
    <w:basedOn w:val="Normal"/>
    <w:next w:val="Normal"/>
    <w:link w:val="Titre1Car"/>
    <w:uiPriority w:val="9"/>
    <w:qFormat/>
    <w:rsid w:val="00211BA9"/>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11BA9"/>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211BA9"/>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rsid w:val="00211BA9"/>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211BA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11BA9"/>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211BA9"/>
    <w:pPr>
      <w:spacing w:before="240" w:after="60"/>
      <w:outlineLvl w:val="6"/>
    </w:pPr>
    <w:rPr>
      <w:sz w:val="24"/>
    </w:rPr>
  </w:style>
  <w:style w:type="paragraph" w:styleId="Titre8">
    <w:name w:val="heading 8"/>
    <w:basedOn w:val="Normal"/>
    <w:next w:val="Normal"/>
    <w:link w:val="Titre8Car"/>
    <w:uiPriority w:val="9"/>
    <w:semiHidden/>
    <w:unhideWhenUsed/>
    <w:qFormat/>
    <w:rsid w:val="00211BA9"/>
    <w:pPr>
      <w:spacing w:before="240" w:after="60"/>
      <w:outlineLvl w:val="7"/>
    </w:pPr>
    <w:rPr>
      <w:i/>
      <w:iCs/>
      <w:sz w:val="24"/>
    </w:rPr>
  </w:style>
  <w:style w:type="paragraph" w:styleId="Titre9">
    <w:name w:val="heading 9"/>
    <w:basedOn w:val="Normal"/>
    <w:next w:val="Normal"/>
    <w:link w:val="Titre9Car"/>
    <w:uiPriority w:val="9"/>
    <w:semiHidden/>
    <w:unhideWhenUsed/>
    <w:qFormat/>
    <w:rsid w:val="00211BA9"/>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1BA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211BA9"/>
    <w:rPr>
      <w:rFonts w:asciiTheme="majorHAnsi" w:eastAsiaTheme="majorEastAsia" w:hAnsiTheme="majorHAnsi" w:cstheme="majorBidi"/>
      <w:b/>
      <w:bCs/>
      <w:i/>
      <w:iCs/>
      <w:sz w:val="28"/>
      <w:szCs w:val="28"/>
    </w:rPr>
  </w:style>
  <w:style w:type="paragraph" w:styleId="Titre">
    <w:name w:val="Title"/>
    <w:basedOn w:val="Normal"/>
    <w:next w:val="Normal"/>
    <w:link w:val="TitreCar"/>
    <w:uiPriority w:val="10"/>
    <w:qFormat/>
    <w:rsid w:val="00211B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11BA9"/>
    <w:rPr>
      <w:rFonts w:asciiTheme="majorHAnsi" w:eastAsiaTheme="majorEastAsia" w:hAnsiTheme="majorHAnsi" w:cstheme="majorBidi"/>
      <w:b/>
      <w:bCs/>
      <w:kern w:val="28"/>
      <w:sz w:val="32"/>
      <w:szCs w:val="32"/>
    </w:rPr>
  </w:style>
  <w:style w:type="character" w:customStyle="1" w:styleId="Titre3Car">
    <w:name w:val="Titre 3 Car"/>
    <w:basedOn w:val="Policepardfaut"/>
    <w:link w:val="Titre3"/>
    <w:uiPriority w:val="9"/>
    <w:rsid w:val="00211BA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211BA9"/>
    <w:rPr>
      <w:b/>
      <w:bCs/>
      <w:sz w:val="28"/>
      <w:szCs w:val="28"/>
    </w:rPr>
  </w:style>
  <w:style w:type="character" w:customStyle="1" w:styleId="Titre5Car">
    <w:name w:val="Titre 5 Car"/>
    <w:basedOn w:val="Policepardfaut"/>
    <w:link w:val="Titre5"/>
    <w:uiPriority w:val="9"/>
    <w:rsid w:val="00211BA9"/>
    <w:rPr>
      <w:b/>
      <w:bCs/>
      <w:i/>
      <w:iCs/>
      <w:sz w:val="26"/>
      <w:szCs w:val="26"/>
    </w:rPr>
  </w:style>
  <w:style w:type="character" w:customStyle="1" w:styleId="Titre6Car">
    <w:name w:val="Titre 6 Car"/>
    <w:basedOn w:val="Policepardfaut"/>
    <w:link w:val="Titre6"/>
    <w:uiPriority w:val="9"/>
    <w:semiHidden/>
    <w:rsid w:val="00211BA9"/>
    <w:rPr>
      <w:b/>
      <w:bCs/>
    </w:rPr>
  </w:style>
  <w:style w:type="character" w:customStyle="1" w:styleId="Titre7Car">
    <w:name w:val="Titre 7 Car"/>
    <w:basedOn w:val="Policepardfaut"/>
    <w:link w:val="Titre7"/>
    <w:uiPriority w:val="9"/>
    <w:semiHidden/>
    <w:rsid w:val="00211BA9"/>
    <w:rPr>
      <w:sz w:val="24"/>
      <w:szCs w:val="24"/>
    </w:rPr>
  </w:style>
  <w:style w:type="character" w:customStyle="1" w:styleId="Titre8Car">
    <w:name w:val="Titre 8 Car"/>
    <w:basedOn w:val="Policepardfaut"/>
    <w:link w:val="Titre8"/>
    <w:uiPriority w:val="9"/>
    <w:semiHidden/>
    <w:rsid w:val="00211BA9"/>
    <w:rPr>
      <w:i/>
      <w:iCs/>
      <w:sz w:val="24"/>
      <w:szCs w:val="24"/>
    </w:rPr>
  </w:style>
  <w:style w:type="character" w:customStyle="1" w:styleId="Titre9Car">
    <w:name w:val="Titre 9 Car"/>
    <w:basedOn w:val="Policepardfaut"/>
    <w:link w:val="Titre9"/>
    <w:uiPriority w:val="9"/>
    <w:semiHidden/>
    <w:rsid w:val="00211BA9"/>
    <w:rPr>
      <w:rFonts w:asciiTheme="majorHAnsi" w:eastAsiaTheme="majorEastAsia" w:hAnsiTheme="majorHAnsi"/>
    </w:rPr>
  </w:style>
  <w:style w:type="paragraph" w:styleId="Sous-titre">
    <w:name w:val="Subtitle"/>
    <w:basedOn w:val="Normal"/>
    <w:next w:val="Normal"/>
    <w:link w:val="Sous-titreCar"/>
    <w:uiPriority w:val="11"/>
    <w:qFormat/>
    <w:rsid w:val="00211BA9"/>
    <w:pPr>
      <w:spacing w:after="60"/>
      <w:jc w:val="center"/>
      <w:outlineLvl w:val="1"/>
    </w:pPr>
    <w:rPr>
      <w:rFonts w:asciiTheme="majorHAnsi" w:eastAsiaTheme="majorEastAsia" w:hAnsiTheme="majorHAnsi"/>
      <w:sz w:val="24"/>
    </w:rPr>
  </w:style>
  <w:style w:type="character" w:customStyle="1" w:styleId="Sous-titreCar">
    <w:name w:val="Sous-titre Car"/>
    <w:basedOn w:val="Policepardfaut"/>
    <w:link w:val="Sous-titre"/>
    <w:uiPriority w:val="11"/>
    <w:rsid w:val="00211BA9"/>
    <w:rPr>
      <w:rFonts w:asciiTheme="majorHAnsi" w:eastAsiaTheme="majorEastAsia" w:hAnsiTheme="majorHAnsi"/>
      <w:sz w:val="24"/>
      <w:szCs w:val="24"/>
    </w:rPr>
  </w:style>
  <w:style w:type="character" w:styleId="lev">
    <w:name w:val="Strong"/>
    <w:basedOn w:val="Policepardfaut"/>
    <w:uiPriority w:val="22"/>
    <w:qFormat/>
    <w:rsid w:val="00211BA9"/>
    <w:rPr>
      <w:b/>
      <w:bCs/>
    </w:rPr>
  </w:style>
  <w:style w:type="character" w:styleId="Accentuation">
    <w:name w:val="Emphasis"/>
    <w:basedOn w:val="Policepardfaut"/>
    <w:uiPriority w:val="20"/>
    <w:qFormat/>
    <w:rsid w:val="00211BA9"/>
    <w:rPr>
      <w:rFonts w:asciiTheme="minorHAnsi" w:hAnsiTheme="minorHAnsi"/>
      <w:b/>
      <w:i/>
      <w:iCs/>
    </w:rPr>
  </w:style>
  <w:style w:type="paragraph" w:styleId="Sansinterligne">
    <w:name w:val="No Spacing"/>
    <w:basedOn w:val="Normal"/>
    <w:uiPriority w:val="1"/>
    <w:qFormat/>
    <w:rsid w:val="00211BA9"/>
    <w:rPr>
      <w:szCs w:val="32"/>
    </w:rPr>
  </w:style>
  <w:style w:type="paragraph" w:styleId="Paragraphedeliste">
    <w:name w:val="List Paragraph"/>
    <w:basedOn w:val="Normal"/>
    <w:uiPriority w:val="34"/>
    <w:qFormat/>
    <w:rsid w:val="00211BA9"/>
    <w:pPr>
      <w:ind w:left="720"/>
      <w:contextualSpacing/>
    </w:pPr>
  </w:style>
  <w:style w:type="paragraph" w:styleId="Citation">
    <w:name w:val="Quote"/>
    <w:basedOn w:val="Normal"/>
    <w:next w:val="Normal"/>
    <w:link w:val="CitationCar"/>
    <w:uiPriority w:val="29"/>
    <w:qFormat/>
    <w:rsid w:val="00211BA9"/>
    <w:rPr>
      <w:i/>
      <w:sz w:val="24"/>
    </w:rPr>
  </w:style>
  <w:style w:type="character" w:customStyle="1" w:styleId="CitationCar">
    <w:name w:val="Citation Car"/>
    <w:basedOn w:val="Policepardfaut"/>
    <w:link w:val="Citation"/>
    <w:uiPriority w:val="29"/>
    <w:rsid w:val="00211BA9"/>
    <w:rPr>
      <w:i/>
      <w:sz w:val="24"/>
      <w:szCs w:val="24"/>
    </w:rPr>
  </w:style>
  <w:style w:type="paragraph" w:styleId="Citationintense">
    <w:name w:val="Intense Quote"/>
    <w:basedOn w:val="Normal"/>
    <w:next w:val="Normal"/>
    <w:link w:val="CitationintenseCar"/>
    <w:uiPriority w:val="30"/>
    <w:qFormat/>
    <w:rsid w:val="00211BA9"/>
    <w:pPr>
      <w:ind w:left="720" w:right="720"/>
    </w:pPr>
    <w:rPr>
      <w:b/>
      <w:i/>
      <w:sz w:val="24"/>
      <w:szCs w:val="22"/>
    </w:rPr>
  </w:style>
  <w:style w:type="character" w:customStyle="1" w:styleId="CitationintenseCar">
    <w:name w:val="Citation intense Car"/>
    <w:basedOn w:val="Policepardfaut"/>
    <w:link w:val="Citationintense"/>
    <w:uiPriority w:val="30"/>
    <w:rsid w:val="00211BA9"/>
    <w:rPr>
      <w:b/>
      <w:i/>
      <w:sz w:val="24"/>
    </w:rPr>
  </w:style>
  <w:style w:type="character" w:styleId="Emphaseple">
    <w:name w:val="Subtle Emphasis"/>
    <w:uiPriority w:val="19"/>
    <w:qFormat/>
    <w:rsid w:val="00211BA9"/>
    <w:rPr>
      <w:i/>
      <w:color w:val="5A5A5A" w:themeColor="text1" w:themeTint="A5"/>
    </w:rPr>
  </w:style>
  <w:style w:type="character" w:styleId="Emphaseintense">
    <w:name w:val="Intense Emphasis"/>
    <w:basedOn w:val="Policepardfaut"/>
    <w:uiPriority w:val="21"/>
    <w:qFormat/>
    <w:rsid w:val="00211BA9"/>
    <w:rPr>
      <w:b/>
      <w:i/>
      <w:sz w:val="24"/>
      <w:szCs w:val="24"/>
      <w:u w:val="single"/>
    </w:rPr>
  </w:style>
  <w:style w:type="character" w:styleId="Rfrenceple">
    <w:name w:val="Subtle Reference"/>
    <w:basedOn w:val="Policepardfaut"/>
    <w:uiPriority w:val="31"/>
    <w:qFormat/>
    <w:rsid w:val="00211BA9"/>
    <w:rPr>
      <w:sz w:val="24"/>
      <w:szCs w:val="24"/>
      <w:u w:val="single"/>
    </w:rPr>
  </w:style>
  <w:style w:type="character" w:styleId="Rfrenceintense">
    <w:name w:val="Intense Reference"/>
    <w:basedOn w:val="Policepardfaut"/>
    <w:uiPriority w:val="32"/>
    <w:qFormat/>
    <w:rsid w:val="00211BA9"/>
    <w:rPr>
      <w:b/>
      <w:sz w:val="24"/>
      <w:u w:val="single"/>
    </w:rPr>
  </w:style>
  <w:style w:type="character" w:styleId="Titredulivre">
    <w:name w:val="Book Title"/>
    <w:basedOn w:val="Policepardfaut"/>
    <w:uiPriority w:val="33"/>
    <w:qFormat/>
    <w:rsid w:val="00211BA9"/>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211BA9"/>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customXml" Target="../customXml/item4.xml"/><Relationship Id="rId5" Type="http://schemas.openxmlformats.org/officeDocument/2006/relationships/chart" Target="charts/chart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urcic\AppData\Local\Microsoft\Windows\INetCache\Content.Outlook\K0GS1K8S\DJ%20-%20R&#233;pondants%20par%20&#226;g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urcic\Desktop\Donn&#233;es_SPAJ-DialogueJeunesse%20-%20Services%20des%20spor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[Copie de DJ - Répondants par âge.xlsx]Feuil1!Tableau croisé dynamique7</c:name>
    <c:fmtId val="-1"/>
  </c:pivotSource>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dirty="0" err="1"/>
              <a:t>Répartition</a:t>
            </a:r>
            <a:r>
              <a:rPr lang="en-US" b="1" baseline="0" dirty="0"/>
              <a:t> </a:t>
            </a:r>
            <a:r>
              <a:rPr lang="en-US" b="1" baseline="0" dirty="0" err="1"/>
              <a:t>selon</a:t>
            </a:r>
            <a:r>
              <a:rPr lang="en-US" b="1" baseline="0" dirty="0"/>
              <a:t> </a:t>
            </a:r>
            <a:r>
              <a:rPr lang="en-US" b="1" baseline="0" dirty="0" err="1"/>
              <a:t>année</a:t>
            </a:r>
            <a:r>
              <a:rPr lang="en-US" b="1" baseline="0" dirty="0"/>
              <a:t> de naissance</a:t>
            </a:r>
            <a:endParaRPr lang="en-US" b="1" dirty="0"/>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fr-F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00B050"/>
          </a:solidFill>
          <a:ln>
            <a:noFill/>
          </a:ln>
          <a:effectLst/>
        </c:spPr>
      </c:pivotFmt>
      <c:pivotFmt>
        <c:idx val="3"/>
        <c:spPr>
          <a:solidFill>
            <a:srgbClr val="00B050"/>
          </a:solidFill>
          <a:ln>
            <a:noFill/>
          </a:ln>
          <a:effectLst/>
        </c:spPr>
      </c:pivotFmt>
      <c:pivotFmt>
        <c:idx val="4"/>
        <c:spPr>
          <a:solidFill>
            <a:srgbClr val="00B050"/>
          </a:solidFill>
          <a:ln>
            <a:noFill/>
          </a:ln>
          <a:effectLst/>
        </c:spPr>
      </c:pivotFmt>
      <c:pivotFmt>
        <c:idx val="5"/>
        <c:spPr>
          <a:solidFill>
            <a:srgbClr val="00B050"/>
          </a:solidFill>
          <a:ln>
            <a:noFill/>
          </a:ln>
          <a:effectLst/>
        </c:spPr>
      </c:pivotFmt>
      <c:pivotFmt>
        <c:idx val="6"/>
        <c:spPr>
          <a:solidFill>
            <a:srgbClr val="00B050"/>
          </a:solidFill>
          <a:ln>
            <a:noFill/>
          </a:ln>
          <a:effectLst/>
        </c:spPr>
      </c:pivotFmt>
      <c:pivotFmt>
        <c:idx val="7"/>
        <c:spPr>
          <a:solidFill>
            <a:srgbClr val="00B050"/>
          </a:solidFill>
          <a:ln>
            <a:noFill/>
          </a:ln>
          <a:effectLst/>
        </c:spPr>
      </c:pivotFmt>
      <c:pivotFmt>
        <c:idx val="8"/>
        <c:spPr>
          <a:solidFill>
            <a:srgbClr val="00B050"/>
          </a:solidFill>
          <a:ln>
            <a:noFill/>
          </a:ln>
          <a:effectLst/>
        </c:spPr>
      </c:pivotFmt>
      <c:pivotFmt>
        <c:idx val="9"/>
        <c:spPr>
          <a:solidFill>
            <a:srgbClr val="00B050"/>
          </a:solidFill>
          <a:ln>
            <a:noFill/>
          </a:ln>
          <a:effectLst/>
        </c:spPr>
      </c:pivotFmt>
      <c:pivotFmt>
        <c:idx val="10"/>
        <c:spPr>
          <a:solidFill>
            <a:srgbClr val="00B050"/>
          </a:solidFill>
          <a:ln>
            <a:noFill/>
          </a:ln>
          <a:effectLst/>
        </c:spPr>
      </c:pivotFmt>
      <c:pivotFmt>
        <c:idx val="11"/>
        <c:spPr>
          <a:solidFill>
            <a:srgbClr val="00B050"/>
          </a:solidFill>
          <a:ln>
            <a:noFill/>
          </a:ln>
          <a:effectLst/>
        </c:spPr>
      </c:pivotFmt>
      <c:pivotFmt>
        <c:idx val="12"/>
        <c:spPr>
          <a:solidFill>
            <a:srgbClr val="00B050"/>
          </a:solidFill>
          <a:ln>
            <a:noFill/>
          </a:ln>
          <a:effectLst/>
        </c:spPr>
      </c:pivotFmt>
      <c:pivotFmt>
        <c:idx val="13"/>
        <c:spPr>
          <a:solidFill>
            <a:srgbClr val="00B050"/>
          </a:solidFill>
          <a:ln>
            <a:noFill/>
          </a:ln>
          <a:effectLst/>
        </c:spPr>
      </c:pivotFmt>
      <c:pivotFmt>
        <c:idx val="14"/>
        <c:spPr>
          <a:solidFill>
            <a:srgbClr val="00B050"/>
          </a:solidFill>
          <a:ln>
            <a:noFill/>
          </a:ln>
          <a:effectLst/>
        </c:spPr>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6"/>
        <c:spPr>
          <a:solidFill>
            <a:srgbClr val="00B050"/>
          </a:solidFill>
          <a:ln>
            <a:noFill/>
          </a:ln>
          <a:effectLst/>
        </c:spPr>
      </c:pivotFmt>
      <c:pivotFmt>
        <c:idx val="17"/>
        <c:spPr>
          <a:solidFill>
            <a:srgbClr val="00B050"/>
          </a:solidFill>
          <a:ln>
            <a:noFill/>
          </a:ln>
          <a:effectLst/>
        </c:spPr>
      </c:pivotFmt>
      <c:pivotFmt>
        <c:idx val="18"/>
        <c:spPr>
          <a:solidFill>
            <a:srgbClr val="00B050"/>
          </a:solidFill>
          <a:ln>
            <a:noFill/>
          </a:ln>
          <a:effectLst/>
        </c:spPr>
      </c:pivotFmt>
      <c:pivotFmt>
        <c:idx val="19"/>
        <c:spPr>
          <a:solidFill>
            <a:srgbClr val="00B050"/>
          </a:solidFill>
          <a:ln>
            <a:noFill/>
          </a:ln>
          <a:effectLst/>
        </c:spPr>
      </c:pivotFmt>
      <c:pivotFmt>
        <c:idx val="20"/>
        <c:spPr>
          <a:solidFill>
            <a:srgbClr val="00B050"/>
          </a:solidFill>
          <a:ln>
            <a:noFill/>
          </a:ln>
          <a:effectLst/>
        </c:spPr>
      </c:pivotFmt>
      <c:pivotFmt>
        <c:idx val="21"/>
        <c:spPr>
          <a:solidFill>
            <a:srgbClr val="00B050"/>
          </a:solidFill>
          <a:ln>
            <a:noFill/>
          </a:ln>
          <a:effectLst/>
        </c:spPr>
      </c:pivotFmt>
      <c:pivotFmt>
        <c:idx val="22"/>
        <c:spPr>
          <a:solidFill>
            <a:srgbClr val="00B050"/>
          </a:solidFill>
          <a:ln>
            <a:noFill/>
          </a:ln>
          <a:effectLst/>
        </c:spPr>
      </c:pivotFmt>
      <c:pivotFmt>
        <c:idx val="23"/>
        <c:spPr>
          <a:solidFill>
            <a:srgbClr val="00B050"/>
          </a:solidFill>
          <a:ln>
            <a:noFill/>
          </a:ln>
          <a:effectLst/>
        </c:spPr>
      </c:pivotFmt>
      <c:pivotFmt>
        <c:idx val="24"/>
        <c:spPr>
          <a:solidFill>
            <a:srgbClr val="00B050"/>
          </a:solidFill>
          <a:ln>
            <a:noFill/>
          </a:ln>
          <a:effectLst/>
        </c:spPr>
      </c:pivotFmt>
      <c:pivotFmt>
        <c:idx val="25"/>
        <c:spPr>
          <a:solidFill>
            <a:srgbClr val="00B050"/>
          </a:solidFill>
          <a:ln>
            <a:noFill/>
          </a:ln>
          <a:effectLst/>
        </c:spPr>
      </c:pivotFmt>
      <c:pivotFmt>
        <c:idx val="26"/>
        <c:spPr>
          <a:solidFill>
            <a:srgbClr val="00B050"/>
          </a:solidFill>
          <a:ln>
            <a:noFill/>
          </a:ln>
          <a:effectLst/>
        </c:spPr>
      </c:pivotFmt>
      <c:pivotFmt>
        <c:idx val="27"/>
        <c:spPr>
          <a:solidFill>
            <a:srgbClr val="00B050"/>
          </a:solidFill>
          <a:ln>
            <a:noFill/>
          </a:ln>
          <a:effectLst/>
        </c:spPr>
      </c:pivotFmt>
      <c:pivotFmt>
        <c:idx val="28"/>
        <c:spPr>
          <a:solidFill>
            <a:srgbClr val="00B050"/>
          </a:solidFill>
          <a:ln>
            <a:noFill/>
          </a:ln>
          <a:effectLst/>
        </c:spPr>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0"/>
        <c:spPr>
          <a:solidFill>
            <a:srgbClr val="00B050"/>
          </a:solidFill>
          <a:ln>
            <a:noFill/>
          </a:ln>
          <a:effectLst/>
        </c:spPr>
      </c:pivotFmt>
      <c:pivotFmt>
        <c:idx val="31"/>
        <c:spPr>
          <a:solidFill>
            <a:srgbClr val="00B050"/>
          </a:solidFill>
          <a:ln>
            <a:noFill/>
          </a:ln>
          <a:effectLst/>
        </c:spPr>
      </c:pivotFmt>
      <c:pivotFmt>
        <c:idx val="32"/>
        <c:spPr>
          <a:solidFill>
            <a:srgbClr val="00B050"/>
          </a:solidFill>
          <a:ln>
            <a:noFill/>
          </a:ln>
          <a:effectLst/>
        </c:spPr>
      </c:pivotFmt>
      <c:pivotFmt>
        <c:idx val="33"/>
        <c:spPr>
          <a:solidFill>
            <a:srgbClr val="00B050"/>
          </a:solidFill>
          <a:ln>
            <a:noFill/>
          </a:ln>
          <a:effectLst/>
        </c:spPr>
      </c:pivotFmt>
      <c:pivotFmt>
        <c:idx val="34"/>
        <c:spPr>
          <a:solidFill>
            <a:srgbClr val="00B050"/>
          </a:solidFill>
          <a:ln>
            <a:noFill/>
          </a:ln>
          <a:effectLst/>
        </c:spPr>
      </c:pivotFmt>
      <c:pivotFmt>
        <c:idx val="35"/>
        <c:spPr>
          <a:solidFill>
            <a:srgbClr val="00B050"/>
          </a:solidFill>
          <a:ln>
            <a:noFill/>
          </a:ln>
          <a:effectLst/>
        </c:spPr>
      </c:pivotFmt>
      <c:pivotFmt>
        <c:idx val="36"/>
        <c:spPr>
          <a:solidFill>
            <a:srgbClr val="00B050"/>
          </a:solidFill>
          <a:ln>
            <a:noFill/>
          </a:ln>
          <a:effectLst/>
        </c:spPr>
      </c:pivotFmt>
      <c:pivotFmt>
        <c:idx val="37"/>
        <c:spPr>
          <a:solidFill>
            <a:srgbClr val="00B050"/>
          </a:solidFill>
          <a:ln>
            <a:noFill/>
          </a:ln>
          <a:effectLst/>
        </c:spPr>
      </c:pivotFmt>
      <c:pivotFmt>
        <c:idx val="38"/>
        <c:spPr>
          <a:solidFill>
            <a:srgbClr val="00B050"/>
          </a:solidFill>
          <a:ln>
            <a:noFill/>
          </a:ln>
          <a:effectLst/>
        </c:spPr>
      </c:pivotFmt>
      <c:pivotFmt>
        <c:idx val="39"/>
        <c:spPr>
          <a:solidFill>
            <a:srgbClr val="00B050"/>
          </a:solidFill>
          <a:ln>
            <a:noFill/>
          </a:ln>
          <a:effectLst/>
        </c:spPr>
      </c:pivotFmt>
      <c:pivotFmt>
        <c:idx val="40"/>
        <c:spPr>
          <a:solidFill>
            <a:srgbClr val="00B050"/>
          </a:solidFill>
          <a:ln>
            <a:noFill/>
          </a:ln>
          <a:effectLst/>
        </c:spPr>
      </c:pivotFmt>
      <c:pivotFmt>
        <c:idx val="41"/>
        <c:spPr>
          <a:solidFill>
            <a:srgbClr val="00B050"/>
          </a:solidFill>
          <a:ln>
            <a:noFill/>
          </a:ln>
          <a:effectLst/>
        </c:spPr>
      </c:pivotFmt>
      <c:pivotFmt>
        <c:idx val="42"/>
        <c:spPr>
          <a:solidFill>
            <a:srgbClr val="00B050"/>
          </a:solidFill>
          <a:ln>
            <a:noFill/>
          </a:ln>
          <a:effectLst/>
        </c:spPr>
      </c:pivotFmt>
    </c:pivotFmts>
    <c:plotArea>
      <c:layout/>
      <c:barChart>
        <c:barDir val="col"/>
        <c:grouping val="clustered"/>
        <c:varyColors val="0"/>
        <c:ser>
          <c:idx val="0"/>
          <c:order val="0"/>
          <c:tx>
            <c:strRef>
              <c:f>Feuil1!$M$6</c:f>
              <c:strCache>
                <c:ptCount val="1"/>
                <c:pt idx="0">
                  <c:v>Total</c:v>
                </c:pt>
              </c:strCache>
            </c:strRef>
          </c:tx>
          <c:spPr>
            <a:solidFill>
              <a:schemeClr val="accent6">
                <a:lumMod val="75000"/>
              </a:schemeClr>
            </a:solidFill>
            <a:ln>
              <a:noFill/>
            </a:ln>
            <a:effectLst/>
          </c:spPr>
          <c:invertIfNegative val="0"/>
          <c:dPt>
            <c:idx val="16"/>
            <c:invertIfNegative val="0"/>
            <c:bubble3D val="0"/>
            <c:spPr>
              <a:solidFill>
                <a:schemeClr val="accent6">
                  <a:lumMod val="75000"/>
                </a:schemeClr>
              </a:solidFill>
              <a:ln>
                <a:noFill/>
              </a:ln>
              <a:effectLst/>
            </c:spPr>
            <c:extLst>
              <c:ext xmlns:c16="http://schemas.microsoft.com/office/drawing/2014/chart" uri="{C3380CC4-5D6E-409C-BE32-E72D297353CC}">
                <c16:uniqueId val="{00000001-3362-4F75-ADAB-FBC8522FC434}"/>
              </c:ext>
            </c:extLst>
          </c:dPt>
          <c:dPt>
            <c:idx val="17"/>
            <c:invertIfNegative val="0"/>
            <c:bubble3D val="0"/>
            <c:spPr>
              <a:solidFill>
                <a:schemeClr val="accent6">
                  <a:lumMod val="75000"/>
                </a:schemeClr>
              </a:solidFill>
              <a:ln>
                <a:noFill/>
              </a:ln>
              <a:effectLst/>
            </c:spPr>
            <c:extLst>
              <c:ext xmlns:c16="http://schemas.microsoft.com/office/drawing/2014/chart" uri="{C3380CC4-5D6E-409C-BE32-E72D297353CC}">
                <c16:uniqueId val="{00000003-3362-4F75-ADAB-FBC8522FC434}"/>
              </c:ext>
            </c:extLst>
          </c:dPt>
          <c:dPt>
            <c:idx val="18"/>
            <c:invertIfNegative val="0"/>
            <c:bubble3D val="0"/>
            <c:spPr>
              <a:solidFill>
                <a:schemeClr val="accent6">
                  <a:lumMod val="75000"/>
                </a:schemeClr>
              </a:solidFill>
              <a:ln>
                <a:noFill/>
              </a:ln>
              <a:effectLst/>
            </c:spPr>
            <c:extLst>
              <c:ext xmlns:c16="http://schemas.microsoft.com/office/drawing/2014/chart" uri="{C3380CC4-5D6E-409C-BE32-E72D297353CC}">
                <c16:uniqueId val="{00000005-3362-4F75-ADAB-FBC8522FC434}"/>
              </c:ext>
            </c:extLst>
          </c:dPt>
          <c:dPt>
            <c:idx val="19"/>
            <c:invertIfNegative val="0"/>
            <c:bubble3D val="0"/>
            <c:spPr>
              <a:solidFill>
                <a:schemeClr val="accent6">
                  <a:lumMod val="75000"/>
                </a:schemeClr>
              </a:solidFill>
              <a:ln>
                <a:noFill/>
              </a:ln>
              <a:effectLst/>
            </c:spPr>
            <c:extLst>
              <c:ext xmlns:c16="http://schemas.microsoft.com/office/drawing/2014/chart" uri="{C3380CC4-5D6E-409C-BE32-E72D297353CC}">
                <c16:uniqueId val="{00000007-3362-4F75-ADAB-FBC8522FC434}"/>
              </c:ext>
            </c:extLst>
          </c:dPt>
          <c:dPt>
            <c:idx val="20"/>
            <c:invertIfNegative val="0"/>
            <c:bubble3D val="0"/>
            <c:spPr>
              <a:solidFill>
                <a:schemeClr val="accent6">
                  <a:lumMod val="75000"/>
                </a:schemeClr>
              </a:solidFill>
              <a:ln>
                <a:noFill/>
              </a:ln>
              <a:effectLst/>
            </c:spPr>
            <c:extLst>
              <c:ext xmlns:c16="http://schemas.microsoft.com/office/drawing/2014/chart" uri="{C3380CC4-5D6E-409C-BE32-E72D297353CC}">
                <c16:uniqueId val="{00000009-3362-4F75-ADAB-FBC8522FC434}"/>
              </c:ext>
            </c:extLst>
          </c:dPt>
          <c:dPt>
            <c:idx val="21"/>
            <c:invertIfNegative val="0"/>
            <c:bubble3D val="0"/>
            <c:spPr>
              <a:solidFill>
                <a:schemeClr val="accent6">
                  <a:lumMod val="75000"/>
                </a:schemeClr>
              </a:solidFill>
              <a:ln>
                <a:noFill/>
              </a:ln>
              <a:effectLst/>
            </c:spPr>
            <c:extLst>
              <c:ext xmlns:c16="http://schemas.microsoft.com/office/drawing/2014/chart" uri="{C3380CC4-5D6E-409C-BE32-E72D297353CC}">
                <c16:uniqueId val="{0000000B-3362-4F75-ADAB-FBC8522FC434}"/>
              </c:ext>
            </c:extLst>
          </c:dPt>
          <c:dPt>
            <c:idx val="22"/>
            <c:invertIfNegative val="0"/>
            <c:bubble3D val="0"/>
            <c:spPr>
              <a:solidFill>
                <a:schemeClr val="accent6">
                  <a:lumMod val="75000"/>
                </a:schemeClr>
              </a:solidFill>
              <a:ln>
                <a:noFill/>
              </a:ln>
              <a:effectLst/>
            </c:spPr>
            <c:extLst>
              <c:ext xmlns:c16="http://schemas.microsoft.com/office/drawing/2014/chart" uri="{C3380CC4-5D6E-409C-BE32-E72D297353CC}">
                <c16:uniqueId val="{0000000D-3362-4F75-ADAB-FBC8522FC434}"/>
              </c:ext>
            </c:extLst>
          </c:dPt>
          <c:dPt>
            <c:idx val="23"/>
            <c:invertIfNegative val="0"/>
            <c:bubble3D val="0"/>
            <c:spPr>
              <a:solidFill>
                <a:schemeClr val="accent6">
                  <a:lumMod val="75000"/>
                </a:schemeClr>
              </a:solidFill>
              <a:ln>
                <a:noFill/>
              </a:ln>
              <a:effectLst/>
            </c:spPr>
            <c:extLst>
              <c:ext xmlns:c16="http://schemas.microsoft.com/office/drawing/2014/chart" uri="{C3380CC4-5D6E-409C-BE32-E72D297353CC}">
                <c16:uniqueId val="{0000000F-3362-4F75-ADAB-FBC8522FC434}"/>
              </c:ext>
            </c:extLst>
          </c:dPt>
          <c:dPt>
            <c:idx val="24"/>
            <c:invertIfNegative val="0"/>
            <c:bubble3D val="0"/>
            <c:spPr>
              <a:solidFill>
                <a:schemeClr val="accent6">
                  <a:lumMod val="75000"/>
                </a:schemeClr>
              </a:solidFill>
              <a:ln>
                <a:noFill/>
              </a:ln>
              <a:effectLst/>
            </c:spPr>
            <c:extLst>
              <c:ext xmlns:c16="http://schemas.microsoft.com/office/drawing/2014/chart" uri="{C3380CC4-5D6E-409C-BE32-E72D297353CC}">
                <c16:uniqueId val="{00000011-3362-4F75-ADAB-FBC8522FC434}"/>
              </c:ext>
            </c:extLst>
          </c:dPt>
          <c:dPt>
            <c:idx val="25"/>
            <c:invertIfNegative val="0"/>
            <c:bubble3D val="0"/>
            <c:spPr>
              <a:solidFill>
                <a:schemeClr val="accent6">
                  <a:lumMod val="75000"/>
                </a:schemeClr>
              </a:solidFill>
              <a:ln>
                <a:noFill/>
              </a:ln>
              <a:effectLst/>
            </c:spPr>
            <c:extLst>
              <c:ext xmlns:c16="http://schemas.microsoft.com/office/drawing/2014/chart" uri="{C3380CC4-5D6E-409C-BE32-E72D297353CC}">
                <c16:uniqueId val="{00000013-3362-4F75-ADAB-FBC8522FC434}"/>
              </c:ext>
            </c:extLst>
          </c:dPt>
          <c:dPt>
            <c:idx val="26"/>
            <c:invertIfNegative val="0"/>
            <c:bubble3D val="0"/>
            <c:spPr>
              <a:solidFill>
                <a:schemeClr val="accent6">
                  <a:lumMod val="75000"/>
                </a:schemeClr>
              </a:solidFill>
              <a:ln>
                <a:noFill/>
              </a:ln>
              <a:effectLst/>
            </c:spPr>
            <c:extLst>
              <c:ext xmlns:c16="http://schemas.microsoft.com/office/drawing/2014/chart" uri="{C3380CC4-5D6E-409C-BE32-E72D297353CC}">
                <c16:uniqueId val="{00000015-3362-4F75-ADAB-FBC8522FC434}"/>
              </c:ext>
            </c:extLst>
          </c:dPt>
          <c:dPt>
            <c:idx val="27"/>
            <c:invertIfNegative val="0"/>
            <c:bubble3D val="0"/>
            <c:spPr>
              <a:solidFill>
                <a:schemeClr val="accent6">
                  <a:lumMod val="75000"/>
                </a:schemeClr>
              </a:solidFill>
              <a:ln>
                <a:noFill/>
              </a:ln>
              <a:effectLst/>
            </c:spPr>
            <c:extLst>
              <c:ext xmlns:c16="http://schemas.microsoft.com/office/drawing/2014/chart" uri="{C3380CC4-5D6E-409C-BE32-E72D297353CC}">
                <c16:uniqueId val="{00000017-3362-4F75-ADAB-FBC8522FC434}"/>
              </c:ext>
            </c:extLst>
          </c:dPt>
          <c:dPt>
            <c:idx val="28"/>
            <c:invertIfNegative val="0"/>
            <c:bubble3D val="0"/>
            <c:spPr>
              <a:solidFill>
                <a:schemeClr val="accent6">
                  <a:lumMod val="75000"/>
                </a:schemeClr>
              </a:solidFill>
              <a:ln>
                <a:noFill/>
              </a:ln>
              <a:effectLst/>
            </c:spPr>
            <c:extLst>
              <c:ext xmlns:c16="http://schemas.microsoft.com/office/drawing/2014/chart" uri="{C3380CC4-5D6E-409C-BE32-E72D297353CC}">
                <c16:uniqueId val="{00000019-3362-4F75-ADAB-FBC8522FC43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Feuil1!$L$7:$L$39</c:f>
              <c:strCache>
                <c:ptCount val="32"/>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strCache>
            </c:strRef>
          </c:cat>
          <c:val>
            <c:numRef>
              <c:f>Feuil1!$M$7:$M$39</c:f>
              <c:numCache>
                <c:formatCode>General</c:formatCode>
                <c:ptCount val="32"/>
                <c:pt idx="0">
                  <c:v>1</c:v>
                </c:pt>
                <c:pt idx="1">
                  <c:v>1</c:v>
                </c:pt>
                <c:pt idx="2">
                  <c:v>3</c:v>
                </c:pt>
                <c:pt idx="3">
                  <c:v>0</c:v>
                </c:pt>
                <c:pt idx="4">
                  <c:v>3</c:v>
                </c:pt>
                <c:pt idx="5">
                  <c:v>6</c:v>
                </c:pt>
                <c:pt idx="6">
                  <c:v>2</c:v>
                </c:pt>
                <c:pt idx="7">
                  <c:v>2</c:v>
                </c:pt>
                <c:pt idx="8">
                  <c:v>4</c:v>
                </c:pt>
                <c:pt idx="9">
                  <c:v>3</c:v>
                </c:pt>
                <c:pt idx="10">
                  <c:v>7</c:v>
                </c:pt>
                <c:pt idx="11">
                  <c:v>12</c:v>
                </c:pt>
                <c:pt idx="12">
                  <c:v>22</c:v>
                </c:pt>
                <c:pt idx="13">
                  <c:v>26</c:v>
                </c:pt>
                <c:pt idx="14">
                  <c:v>24</c:v>
                </c:pt>
                <c:pt idx="15">
                  <c:v>47</c:v>
                </c:pt>
                <c:pt idx="16">
                  <c:v>51</c:v>
                </c:pt>
                <c:pt idx="17">
                  <c:v>62</c:v>
                </c:pt>
                <c:pt idx="18">
                  <c:v>75</c:v>
                </c:pt>
                <c:pt idx="19">
                  <c:v>75</c:v>
                </c:pt>
                <c:pt idx="20">
                  <c:v>90</c:v>
                </c:pt>
                <c:pt idx="21">
                  <c:v>109</c:v>
                </c:pt>
                <c:pt idx="22">
                  <c:v>144</c:v>
                </c:pt>
                <c:pt idx="23">
                  <c:v>252</c:v>
                </c:pt>
                <c:pt idx="24">
                  <c:v>276</c:v>
                </c:pt>
                <c:pt idx="25">
                  <c:v>229</c:v>
                </c:pt>
                <c:pt idx="26">
                  <c:v>227</c:v>
                </c:pt>
                <c:pt idx="27">
                  <c:v>182</c:v>
                </c:pt>
                <c:pt idx="28">
                  <c:v>106</c:v>
                </c:pt>
                <c:pt idx="29">
                  <c:v>8</c:v>
                </c:pt>
                <c:pt idx="30">
                  <c:v>5</c:v>
                </c:pt>
                <c:pt idx="31">
                  <c:v>2</c:v>
                </c:pt>
              </c:numCache>
            </c:numRef>
          </c:val>
          <c:extLst>
            <c:ext xmlns:c16="http://schemas.microsoft.com/office/drawing/2014/chart" uri="{C3380CC4-5D6E-409C-BE32-E72D297353CC}">
              <c16:uniqueId val="{0000001A-3362-4F75-ADAB-FBC8522FC434}"/>
            </c:ext>
          </c:extLst>
        </c:ser>
        <c:dLbls>
          <c:dLblPos val="outEnd"/>
          <c:showLegendKey val="0"/>
          <c:showVal val="1"/>
          <c:showCatName val="0"/>
          <c:showSerName val="0"/>
          <c:showPercent val="0"/>
          <c:showBubbleSize val="0"/>
        </c:dLbls>
        <c:gapWidth val="219"/>
        <c:overlap val="-27"/>
        <c:axId val="618496696"/>
        <c:axId val="618495384"/>
      </c:barChart>
      <c:catAx>
        <c:axId val="618496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18495384"/>
        <c:crosses val="autoZero"/>
        <c:auto val="1"/>
        <c:lblAlgn val="ctr"/>
        <c:lblOffset val="100"/>
        <c:noMultiLvlLbl val="0"/>
      </c:catAx>
      <c:valAx>
        <c:axId val="618495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18496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H" sz="1400" b="1" i="0" u="none" strike="noStrike" baseline="0">
                <a:effectLst/>
              </a:rPr>
              <a:t>Répartition des 14 - 18 ans par Communes</a:t>
            </a:r>
            <a:r>
              <a:rPr lang="fr-CH" sz="1400" b="0" i="0" u="none" strike="noStrike" baseline="0"/>
              <a:t> </a:t>
            </a:r>
            <a:endParaRPr lang="fr-CH"/>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'Répartition commune'!$C$5:$C$31</c:f>
              <c:strCache>
                <c:ptCount val="27"/>
                <c:pt idx="0">
                  <c:v>Boudry</c:v>
                </c:pt>
                <c:pt idx="1">
                  <c:v>Brot-Plamboz</c:v>
                </c:pt>
                <c:pt idx="2">
                  <c:v>Cornaux</c:v>
                </c:pt>
                <c:pt idx="3">
                  <c:v>Cortaillod</c:v>
                </c:pt>
                <c:pt idx="4">
                  <c:v>Cressier</c:v>
                </c:pt>
                <c:pt idx="5">
                  <c:v>Enges</c:v>
                </c:pt>
                <c:pt idx="6">
                  <c:v>Hauterive</c:v>
                </c:pt>
                <c:pt idx="7">
                  <c:v>La Brévine</c:v>
                </c:pt>
                <c:pt idx="8">
                  <c:v>La Chaux-de-Fonds</c:v>
                </c:pt>
                <c:pt idx="9">
                  <c:v>La Chaux-du-Milieu</c:v>
                </c:pt>
                <c:pt idx="10">
                  <c:v>La Côte-aux-Fées</c:v>
                </c:pt>
                <c:pt idx="11">
                  <c:v>La Grande Béroche</c:v>
                </c:pt>
                <c:pt idx="12">
                  <c:v>La Sagne</c:v>
                </c:pt>
                <c:pt idx="13">
                  <c:v>La Tène</c:v>
                </c:pt>
                <c:pt idx="14">
                  <c:v>Le Cerneux-Péquignot</c:v>
                </c:pt>
                <c:pt idx="15">
                  <c:v>Le Landeron</c:v>
                </c:pt>
                <c:pt idx="16">
                  <c:v>Le Locle</c:v>
                </c:pt>
                <c:pt idx="17">
                  <c:v>Les Planchettes</c:v>
                </c:pt>
                <c:pt idx="18">
                  <c:v>Les Ponts-de-Martel</c:v>
                </c:pt>
                <c:pt idx="19">
                  <c:v>Les Verrières</c:v>
                </c:pt>
                <c:pt idx="20">
                  <c:v>Lignières</c:v>
                </c:pt>
                <c:pt idx="21">
                  <c:v>Milvignes</c:v>
                </c:pt>
                <c:pt idx="22">
                  <c:v>Neuchâtel</c:v>
                </c:pt>
                <c:pt idx="23">
                  <c:v>Rochefort</c:v>
                </c:pt>
                <c:pt idx="24">
                  <c:v>Saint-Blaise</c:v>
                </c:pt>
                <c:pt idx="25">
                  <c:v>Val-de-Ruz</c:v>
                </c:pt>
                <c:pt idx="26">
                  <c:v>Val-de-Travers</c:v>
                </c:pt>
              </c:strCache>
            </c:strRef>
          </c:cat>
          <c:val>
            <c:numRef>
              <c:f>'Répartition commune'!$D$5:$D$31</c:f>
              <c:numCache>
                <c:formatCode>General</c:formatCode>
                <c:ptCount val="27"/>
                <c:pt idx="0">
                  <c:v>42</c:v>
                </c:pt>
                <c:pt idx="1">
                  <c:v>3</c:v>
                </c:pt>
                <c:pt idx="2">
                  <c:v>6</c:v>
                </c:pt>
                <c:pt idx="3">
                  <c:v>28</c:v>
                </c:pt>
                <c:pt idx="4">
                  <c:v>12</c:v>
                </c:pt>
                <c:pt idx="5">
                  <c:v>2</c:v>
                </c:pt>
                <c:pt idx="6">
                  <c:v>20</c:v>
                </c:pt>
                <c:pt idx="7">
                  <c:v>3</c:v>
                </c:pt>
                <c:pt idx="8">
                  <c:v>258</c:v>
                </c:pt>
                <c:pt idx="9">
                  <c:v>5</c:v>
                </c:pt>
                <c:pt idx="10">
                  <c:v>2</c:v>
                </c:pt>
                <c:pt idx="11">
                  <c:v>43</c:v>
                </c:pt>
                <c:pt idx="12">
                  <c:v>11</c:v>
                </c:pt>
                <c:pt idx="13">
                  <c:v>38</c:v>
                </c:pt>
                <c:pt idx="14">
                  <c:v>3</c:v>
                </c:pt>
                <c:pt idx="15">
                  <c:v>28</c:v>
                </c:pt>
                <c:pt idx="16">
                  <c:v>64</c:v>
                </c:pt>
                <c:pt idx="17">
                  <c:v>3</c:v>
                </c:pt>
                <c:pt idx="18">
                  <c:v>12</c:v>
                </c:pt>
                <c:pt idx="19">
                  <c:v>3</c:v>
                </c:pt>
                <c:pt idx="20">
                  <c:v>7</c:v>
                </c:pt>
                <c:pt idx="21">
                  <c:v>50</c:v>
                </c:pt>
                <c:pt idx="22">
                  <c:v>289</c:v>
                </c:pt>
                <c:pt idx="23">
                  <c:v>3</c:v>
                </c:pt>
                <c:pt idx="24">
                  <c:v>25</c:v>
                </c:pt>
                <c:pt idx="25">
                  <c:v>155</c:v>
                </c:pt>
                <c:pt idx="26">
                  <c:v>50</c:v>
                </c:pt>
              </c:numCache>
            </c:numRef>
          </c:val>
          <c:extLst>
            <c:ext xmlns:c16="http://schemas.microsoft.com/office/drawing/2014/chart" uri="{C3380CC4-5D6E-409C-BE32-E72D297353CC}">
              <c16:uniqueId val="{00000000-4CEA-42AB-B5F8-F3CB40F02F65}"/>
            </c:ext>
          </c:extLst>
        </c:ser>
        <c:dLbls>
          <c:dLblPos val="outEnd"/>
          <c:showLegendKey val="0"/>
          <c:showVal val="1"/>
          <c:showCatName val="0"/>
          <c:showSerName val="0"/>
          <c:showPercent val="0"/>
          <c:showBubbleSize val="0"/>
        </c:dLbls>
        <c:gapWidth val="219"/>
        <c:overlap val="-27"/>
        <c:axId val="759104888"/>
        <c:axId val="759105216"/>
      </c:barChart>
      <c:catAx>
        <c:axId val="759104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59105216"/>
        <c:crosses val="autoZero"/>
        <c:auto val="1"/>
        <c:lblAlgn val="ctr"/>
        <c:lblOffset val="100"/>
        <c:noMultiLvlLbl val="0"/>
      </c:catAx>
      <c:valAx>
        <c:axId val="759105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59104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Eta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8EC46B337D94439AF1D87EE7334290" ma:contentTypeVersion="0" ma:contentTypeDescription="Crée un document." ma:contentTypeScope="" ma:versionID="4dd588baa5c9e14e924d2acbd96d3b71">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c131750ee04a94d8fe7f9827db09b64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149</Value>
      <Value>381</Value>
    </TaxCatchAll>
    <o410524c08c94595afa657d6a91eb2e7 xmlns="7dc7280d-fec9-4c99-9736-8d7ecec3545c">
      <Terms xmlns="http://schemas.microsoft.com/office/infopath/2007/PartnerControls">
        <TermInfo xmlns="http://schemas.microsoft.com/office/infopath/2007/PartnerControls">
          <TermName xmlns="http://schemas.microsoft.com/office/infopath/2007/PartnerControls">DFDS</TermName>
          <TermId xmlns="http://schemas.microsoft.com/office/infopath/2007/PartnerControls">b61c6dca-6610-4e9d-946f-3d2ff50534fd</TermId>
        </TermInfo>
      </Term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protection de l'adulte et de la jeunesse</TermName>
          <TermId xmlns="http://schemas.microsoft.com/office/infopath/2007/PartnerControls">0259be99-525e-409b-9917-e19e91b71ff8</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9C2D5969-81B9-400F-B87F-116EA616DA40}">
  <ds:schemaRefs>
    <ds:schemaRef ds:uri="http://schemas.openxmlformats.org/officeDocument/2006/bibliography"/>
  </ds:schemaRefs>
</ds:datastoreItem>
</file>

<file path=customXml/itemProps2.xml><?xml version="1.0" encoding="utf-8"?>
<ds:datastoreItem xmlns:ds="http://schemas.openxmlformats.org/officeDocument/2006/customXml" ds:itemID="{0F9EF52C-67F9-45C7-A2E7-AF269157B30B}"/>
</file>

<file path=customXml/itemProps3.xml><?xml version="1.0" encoding="utf-8"?>
<ds:datastoreItem xmlns:ds="http://schemas.openxmlformats.org/officeDocument/2006/customXml" ds:itemID="{B8904BF2-F3DA-41EF-98E7-587D1DB5D14C}"/>
</file>

<file path=customXml/itemProps4.xml><?xml version="1.0" encoding="utf-8"?>
<ds:datastoreItem xmlns:ds="http://schemas.openxmlformats.org/officeDocument/2006/customXml" ds:itemID="{FA97B5CD-8264-4721-A676-4ADBFF6A2104}"/>
</file>

<file path=docProps/app.xml><?xml version="1.0" encoding="utf-8"?>
<Properties xmlns="http://schemas.openxmlformats.org/officeDocument/2006/extended-properties" xmlns:vt="http://schemas.openxmlformats.org/officeDocument/2006/docPropsVTypes">
  <Template>Normal.dotm</Template>
  <TotalTime>2</TotalTime>
  <Pages>2</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Etat de Neuchâtel SIEN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Graphiques</dc:title>
  <dc:subject/>
  <dc:creator>Turci Cynthia</dc:creator>
  <cp:keywords/>
  <dc:description/>
  <cp:lastModifiedBy>Turci Cynthia</cp:lastModifiedBy>
  <cp:revision>1</cp:revision>
  <dcterms:created xsi:type="dcterms:W3CDTF">2021-09-14T14:29:00Z</dcterms:created>
  <dcterms:modified xsi:type="dcterms:W3CDTF">2021-09-14T14:31:00Z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0x010100138EC46B337D94439AF1D87EE7334290</vt:lpwstr>
  </property>
  <property fmtid="{D5CDD505-2E9C-101B-9397-08002B2CF9AE}" pid="3" name="Entite">
    <vt:lpwstr>149;#Service de protection de l'adulte et de la jeunesse|0259be99-525e-409b-9917-e19e91b71ff8</vt:lpwstr>
  </property>
  <property fmtid="{D5CDD505-2E9C-101B-9397-08002B2CF9AE}" pid="4" name="Theme">
    <vt:lpwstr/>
  </property>
  <property fmtid="{D5CDD505-2E9C-101B-9397-08002B2CF9AE}" pid="5" name="Departement">
    <vt:lpwstr>381;#DFDS|b61c6dca-6610-4e9d-946f-3d2ff50534fd</vt:lpwstr>
  </property>
  <property fmtid="{D5CDD505-2E9C-101B-9397-08002B2CF9AE}" pid="6" name="Type du document">
    <vt:lpwstr/>
  </property>
  <property fmtid="{D5CDD505-2E9C-101B-9397-08002B2CF9AE}" pid="7" name="Acronyme">
    <vt:lpwstr/>
  </property>
</Properties>
</file>